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9096d8k.htm"/>
      <w:bookmarkStart w:id="1" w:name="ksd15909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May 27,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AFFILIATED MANAGERS GROUP,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Delaware</w:t>
      </w:r>
    </w:p>
    <w:p>
      <w:pPr>
        <w:pStyle w:val="TextBody"/>
        <w:bidi w:val="0"/>
        <w:spacing w:before="0" w:after="0"/>
        <w:jc w:val="center"/>
        <w:rPr>
          <w:rFonts w:ascii="Times New Roman" w:hAnsi="Times New Roman"/>
          <w:b/>
          <w:sz w:val="16"/>
        </w:rPr>
      </w:pPr>
      <w:r>
        <w:rPr>
          <w:rFonts w:ascii="Times New Roman" w:hAnsi="Times New Roman"/>
          <w:b/>
          <w:sz w:val="16"/>
        </w:rPr>
        <w:t>(State or Other Jurisdiction</w:t>
      </w:r>
    </w:p>
    <w:p>
      <w:pPr>
        <w:pStyle w:val="TextBody"/>
        <w:bidi w:val="0"/>
        <w:spacing w:before="0" w:after="0"/>
        <w:jc w:val="center"/>
        <w:rPr>
          <w:rFonts w:ascii="Times New Roman" w:hAnsi="Times New Roman"/>
          <w:b/>
          <w:sz w:val="16"/>
        </w:rPr>
      </w:pPr>
      <w:r>
        <w:rPr>
          <w:rFonts w:ascii="Times New Roman" w:hAnsi="Times New Roman"/>
          <w:b/>
          <w:sz w:val="16"/>
        </w:rPr>
        <w:t>of Incorporation)</w:t>
      </w:r>
    </w:p>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1070"/>
        <w:gridCol w:w="60"/>
        <w:gridCol w:w="1370"/>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center"/>
              <w:rPr>
                <w:b/>
              </w:rPr>
            </w:pPr>
            <w:r>
              <w:rPr>
                <w:b/>
              </w:rPr>
              <w:t>001-13459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04-3218510</w:t>
            </w:r>
          </w:p>
        </w:tc>
      </w:tr>
      <w:tr>
        <w:trPr/>
        <w:tc>
          <w:tcPr>
            <w:tcW w:w="10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1001 U.S. Highway One North, Jupiter, Florida 33477</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240" w:after="0"/>
        <w:jc w:val="center"/>
        <w:rPr>
          <w:rFonts w:ascii="Times New Roman" w:hAnsi="Times New Roman"/>
          <w:b/>
          <w:sz w:val="20"/>
        </w:rPr>
      </w:pPr>
      <w:r>
        <w:rPr>
          <w:rFonts w:ascii="Times New Roman" w:hAnsi="Times New Roman"/>
          <w:b/>
          <w:sz w:val="20"/>
        </w:rPr>
        <w:t>(800) 345-1100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General Instruction A.2. below):</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310" w:type="dxa"/>
        <w:jc w:val="left"/>
        <w:tblInd w:w="0" w:type="dxa"/>
        <w:tblLayout w:type="fixed"/>
        <w:tblCellMar>
          <w:top w:w="0" w:type="dxa"/>
          <w:left w:w="0" w:type="dxa"/>
          <w:bottom w:w="0" w:type="dxa"/>
          <w:right w:w="0" w:type="dxa"/>
        </w:tblCellMar>
      </w:tblPr>
      <w:tblGrid>
        <w:gridCol w:w="4610"/>
        <w:gridCol w:w="60"/>
        <w:gridCol w:w="785"/>
        <w:gridCol w:w="60"/>
        <w:gridCol w:w="2795"/>
      </w:tblGrid>
      <w:tr>
        <w:trPr/>
        <w:tc>
          <w:tcPr>
            <w:tcW w:w="4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46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7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610" w:type="dxa"/>
            <w:tcBorders/>
            <w:vAlign w:val="center"/>
          </w:tcPr>
          <w:p>
            <w:pPr>
              <w:pStyle w:val="TableContents"/>
              <w:bidi w:val="0"/>
              <w:spacing w:before="0" w:after="283"/>
              <w:jc w:val="center"/>
              <w:rPr>
                <w:b/>
              </w:rPr>
            </w:pPr>
            <w:r>
              <w:rPr>
                <w:b/>
              </w:rPr>
              <w:t>Common Stock ($0.01 par value)</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b/>
              </w:rPr>
            </w:pPr>
            <w:r>
              <w:rPr>
                <w:b/>
              </w:rPr>
              <w:t>AMG</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b/>
              </w:rPr>
            </w:pPr>
            <w:r>
              <w:rPr>
                <w:b/>
              </w:rPr>
              <w:t>New York Stock Exchange</w:t>
            </w:r>
          </w:p>
        </w:tc>
      </w:tr>
      <w:tr>
        <w:trPr/>
        <w:tc>
          <w:tcPr>
            <w:tcW w:w="4610" w:type="dxa"/>
            <w:tcBorders/>
            <w:vAlign w:val="center"/>
          </w:tcPr>
          <w:p>
            <w:pPr>
              <w:pStyle w:val="TableContents"/>
              <w:bidi w:val="0"/>
              <w:spacing w:before="0" w:after="283"/>
              <w:jc w:val="center"/>
              <w:rPr>
                <w:b/>
              </w:rPr>
            </w:pPr>
            <w:r>
              <w:rPr>
                <w:b/>
              </w:rPr>
              <w:t>5.875% Junior Subordinated Notes due 2059</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b/>
              </w:rPr>
            </w:pPr>
            <w:r>
              <w:rPr>
                <w:b/>
              </w:rPr>
              <w:t>MGR</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b/>
              </w:rPr>
            </w:pPr>
            <w:r>
              <w:rPr>
                <w:b/>
              </w:rPr>
              <w:t>New York Stock Exchange</w:t>
            </w:r>
          </w:p>
        </w:tc>
      </w:tr>
      <w:tr>
        <w:trPr/>
        <w:tc>
          <w:tcPr>
            <w:tcW w:w="4610" w:type="dxa"/>
            <w:tcBorders/>
            <w:vAlign w:val="center"/>
          </w:tcPr>
          <w:p>
            <w:pPr>
              <w:pStyle w:val="TableContents"/>
              <w:bidi w:val="0"/>
              <w:spacing w:before="0" w:after="283"/>
              <w:jc w:val="center"/>
              <w:rPr>
                <w:b/>
              </w:rPr>
            </w:pPr>
            <w:r>
              <w:rPr>
                <w:b/>
              </w:rPr>
              <w:t>4.750% Junior Subordinated Notes due 2060</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b/>
              </w:rPr>
            </w:pPr>
            <w:r>
              <w:rPr>
                <w:b/>
              </w:rPr>
              <w:t>MGRB</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b/>
              </w:rPr>
            </w:pPr>
            <w:r>
              <w:rPr>
                <w:b/>
              </w:rPr>
              <w:t>New York Stock Exchange</w:t>
            </w:r>
          </w:p>
        </w:tc>
      </w:tr>
      <w:tr>
        <w:trPr/>
        <w:tc>
          <w:tcPr>
            <w:tcW w:w="4610" w:type="dxa"/>
            <w:tcBorders/>
            <w:vAlign w:val="center"/>
          </w:tcPr>
          <w:p>
            <w:pPr>
              <w:pStyle w:val="TableContents"/>
              <w:bidi w:val="0"/>
              <w:spacing w:before="0" w:after="283"/>
              <w:jc w:val="center"/>
              <w:rPr>
                <w:b/>
              </w:rPr>
            </w:pPr>
            <w:r>
              <w:rPr>
                <w:b/>
              </w:rPr>
              <w:t>4.200% Junior Subordinated Notes due 2061</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b/>
              </w:rPr>
            </w:pPr>
            <w:r>
              <w:rPr>
                <w:b/>
              </w:rPr>
              <w:t>MGRD</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b/>
              </w:rPr>
            </w:pPr>
            <w:r>
              <w:rPr>
                <w:b/>
              </w:rPr>
              <w:t>New York Stock Exchange</w:t>
            </w:r>
          </w:p>
        </w:tc>
      </w:tr>
      <w:tr>
        <w:trPr/>
        <w:tc>
          <w:tcPr>
            <w:tcW w:w="4610" w:type="dxa"/>
            <w:tcBorders/>
            <w:vAlign w:val="center"/>
          </w:tcPr>
          <w:p>
            <w:pPr>
              <w:pStyle w:val="TableContents"/>
              <w:bidi w:val="0"/>
              <w:spacing w:before="0" w:after="283"/>
              <w:jc w:val="center"/>
              <w:rPr>
                <w:b/>
              </w:rPr>
            </w:pPr>
            <w:r>
              <w:rPr>
                <w:b/>
              </w:rPr>
              <w:t>6.750% Junior Subordinated Notes due 2064</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b/>
              </w:rPr>
            </w:pPr>
            <w:r>
              <w:rPr>
                <w:b/>
              </w:rPr>
              <w:t>MGRE</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center"/>
              <w:rPr>
                <w:b/>
              </w:rPr>
            </w:pPr>
            <w:r>
              <w:rPr>
                <w:b/>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620" w:type="dxa"/>
        <w:jc w:val="left"/>
        <w:tblInd w:w="0" w:type="dxa"/>
        <w:tblLayout w:type="fixed"/>
        <w:tblCellMar>
          <w:top w:w="0" w:type="dxa"/>
          <w:left w:w="0" w:type="dxa"/>
          <w:bottom w:w="0" w:type="dxa"/>
          <w:right w:w="0" w:type="dxa"/>
        </w:tblCellMar>
      </w:tblPr>
      <w:tblGrid>
        <w:gridCol w:w="1145"/>
        <w:gridCol w:w="4475"/>
      </w:tblGrid>
      <w:tr>
        <w:trPr/>
        <w:tc>
          <w:tcPr>
            <w:tcW w:w="114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Annual Meeting of Stockholders of Affiliated Managers Group, Inc. (the “Company”) was held on May 27, 2026. At that meeting, the stockholders considered and acted upon the following proposals: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w:t>
      </w:r>
      <w:r>
        <w:rPr>
          <w:rFonts w:ascii="Times New Roman" w:hAnsi="Times New Roman"/>
          <w:b/>
          <w:sz w:val="20"/>
        </w:rPr>
        <w:t>The Election of Directors</w:t>
      </w:r>
      <w:r>
        <w:rPr>
          <w:rFonts w:ascii="Times New Roman" w:hAnsi="Times New Roman"/>
          <w:sz w:val="20"/>
        </w:rPr>
        <w:t xml:space="preserve">. The stockholders elected the following individuals to serve as directors until the 2027 Annual Meeting of Stockholders and until their respective successors are duly elected and qualified. Each nominee was approved by the stockholders by the affirmative vote of at least 97% of the votes cast. The table below sets forth the voting results for each director: </w:t>
      </w:r>
    </w:p>
    <w:p>
      <w:pPr>
        <w:pStyle w:val="TextBody"/>
        <w:bidi w:val="0"/>
        <w:spacing w:before="0" w:after="0"/>
        <w:jc w:val="left"/>
        <w:rPr/>
      </w:pPr>
      <w:r>
        <w:rPr/>
        <w:t> </w:t>
      </w:r>
    </w:p>
    <w:tbl>
      <w:tblPr>
        <w:tblW w:w="8575" w:type="dxa"/>
        <w:jc w:val="left"/>
        <w:tblInd w:w="0" w:type="dxa"/>
        <w:tblLayout w:type="fixed"/>
        <w:tblCellMar>
          <w:top w:w="0" w:type="dxa"/>
          <w:left w:w="0" w:type="dxa"/>
          <w:bottom w:w="0" w:type="dxa"/>
          <w:right w:w="0" w:type="dxa"/>
        </w:tblCellMar>
      </w:tblPr>
      <w:tblGrid>
        <w:gridCol w:w="2135"/>
        <w:gridCol w:w="120"/>
        <w:gridCol w:w="60"/>
        <w:gridCol w:w="1100"/>
        <w:gridCol w:w="60"/>
        <w:gridCol w:w="120"/>
        <w:gridCol w:w="99"/>
        <w:gridCol w:w="1331"/>
        <w:gridCol w:w="60"/>
        <w:gridCol w:w="120"/>
        <w:gridCol w:w="118"/>
        <w:gridCol w:w="1102"/>
        <w:gridCol w:w="60"/>
        <w:gridCol w:w="120"/>
        <w:gridCol w:w="109"/>
        <w:gridCol w:w="1786"/>
        <w:gridCol w:w="75"/>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 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 Against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Abstentions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 Staley Cates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23,034,061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48,281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6,040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1,444,196</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Marcy Engel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22,963,703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118,433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6,246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right"/>
              <w:rPr/>
            </w:pPr>
            <w:r>
              <w:rPr/>
              <w:t>1,444,196</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Annette Franqui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22,541,985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540,482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5,915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1,444,196</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Jay C. Horgen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23,026,810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55,537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6,035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right"/>
              <w:rPr/>
            </w:pPr>
            <w:r>
              <w:rPr/>
              <w:t>1,444,196</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Félix V. Matos Rodríguez</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22,789,787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292,357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6,238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1,444,196</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Tracy P. Palandjian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22,537,482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544,990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5,910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right"/>
              <w:rPr/>
            </w:pPr>
            <w:r>
              <w:rPr/>
              <w:t>1,444,196</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Loren M. Starr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22,405,508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676,731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6,143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1,444,196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w:t>
      </w:r>
      <w:r>
        <w:rPr>
          <w:rFonts w:ascii="Times New Roman" w:hAnsi="Times New Roman"/>
          <w:b/>
          <w:sz w:val="20"/>
        </w:rPr>
        <w:t>Non-Binding Advisory Vote on Executive Compensation</w:t>
      </w:r>
      <w:r>
        <w:rPr>
          <w:rFonts w:ascii="Times New Roman" w:hAnsi="Times New Roman"/>
          <w:sz w:val="20"/>
        </w:rPr>
        <w:t xml:space="preserve">. The stockholders voted to approve, by a non-binding advisory vote, the compensation of the Company’s named executive officers by the affirmative vote of 98% of the votes cast. The table below sets forth the voting results: </w:t>
      </w:r>
    </w:p>
    <w:p>
      <w:pPr>
        <w:pStyle w:val="TextBody"/>
        <w:bidi w:val="0"/>
        <w:spacing w:before="0" w:after="0"/>
        <w:jc w:val="left"/>
        <w:rPr/>
      </w:pPr>
      <w:r>
        <w:rPr/>
        <w:t> </w:t>
      </w:r>
    </w:p>
    <w:tbl>
      <w:tblPr>
        <w:tblW w:w="4535" w:type="dxa"/>
        <w:jc w:val="left"/>
        <w:tblInd w:w="0" w:type="dxa"/>
        <w:tblLayout w:type="fixed"/>
        <w:tblCellMar>
          <w:top w:w="0" w:type="dxa"/>
          <w:left w:w="0" w:type="dxa"/>
          <w:bottom w:w="0" w:type="dxa"/>
          <w:right w:w="0" w:type="dxa"/>
        </w:tblCellMar>
      </w:tblPr>
      <w:tblGrid>
        <w:gridCol w:w="1115"/>
        <w:gridCol w:w="60"/>
        <w:gridCol w:w="1025"/>
        <w:gridCol w:w="60"/>
        <w:gridCol w:w="860"/>
        <w:gridCol w:w="60"/>
        <w:gridCol w:w="13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115" w:type="dxa"/>
            <w:tcBorders/>
            <w:shd w:fill="CCEEFF" w:val="clear"/>
            <w:vAlign w:val="center"/>
          </w:tcPr>
          <w:p>
            <w:pPr>
              <w:pStyle w:val="TableContents"/>
              <w:bidi w:val="0"/>
              <w:spacing w:before="0" w:after="283"/>
              <w:jc w:val="center"/>
              <w:rPr/>
            </w:pPr>
            <w:r>
              <w:rPr/>
              <w:t>22,587,936</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479,705</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center"/>
              <w:rPr/>
            </w:pPr>
            <w:r>
              <w:rPr/>
              <w:t>20,741</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1,444,196</w:t>
            </w:r>
          </w:p>
        </w:tc>
      </w:tr>
    </w:tbl>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w:t>
      </w:r>
      <w:r>
        <w:rPr>
          <w:rFonts w:ascii="Times New Roman" w:hAnsi="Times New Roman"/>
          <w:b/>
          <w:sz w:val="20"/>
        </w:rPr>
        <w:t>Ratification of the Selection of PricewaterhouseCoopers LLP as the Company’s Independent Registered Public Accounting Firm for the Current Fiscal Year</w:t>
      </w:r>
      <w:r>
        <w:rPr>
          <w:rFonts w:ascii="Times New Roman" w:hAnsi="Times New Roman"/>
          <w:sz w:val="20"/>
        </w:rPr>
        <w:t xml:space="preserve">. The stockholders voted to ratify the selection of PricewaterhouseCoopers LLP as the Company’s independent registered public accounting firm for the current fiscal year. The proposal was approved by the stockholders by the affirmative vote of 94% of the votes cast. The table below sets forth the voting results: </w:t>
      </w:r>
    </w:p>
    <w:p>
      <w:pPr>
        <w:pStyle w:val="TextBody"/>
        <w:bidi w:val="0"/>
        <w:spacing w:before="0" w:after="0"/>
        <w:jc w:val="left"/>
        <w:rPr/>
      </w:pPr>
      <w:r>
        <w:rPr/>
        <w:t> </w:t>
      </w:r>
    </w:p>
    <w:tbl>
      <w:tblPr>
        <w:tblW w:w="3135" w:type="dxa"/>
        <w:jc w:val="left"/>
        <w:tblInd w:w="0" w:type="dxa"/>
        <w:tblLayout w:type="fixed"/>
        <w:tblCellMar>
          <w:top w:w="0" w:type="dxa"/>
          <w:left w:w="0" w:type="dxa"/>
          <w:bottom w:w="0" w:type="dxa"/>
          <w:right w:w="0" w:type="dxa"/>
        </w:tblCellMar>
      </w:tblPr>
      <w:tblGrid>
        <w:gridCol w:w="1115"/>
        <w:gridCol w:w="60"/>
        <w:gridCol w:w="1025"/>
        <w:gridCol w:w="60"/>
        <w:gridCol w:w="87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r>
      <w:tr>
        <w:trPr/>
        <w:tc>
          <w:tcPr>
            <w:tcW w:w="1115" w:type="dxa"/>
            <w:tcBorders/>
            <w:shd w:fill="CCEEFF" w:val="clear"/>
            <w:vAlign w:val="center"/>
          </w:tcPr>
          <w:p>
            <w:pPr>
              <w:pStyle w:val="TableContents"/>
              <w:bidi w:val="0"/>
              <w:spacing w:before="0" w:after="283"/>
              <w:jc w:val="center"/>
              <w:rPr/>
            </w:pPr>
            <w:r>
              <w:rPr/>
              <w:t>23,035,223</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1,491,160</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6,195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773" w:type="dxa"/>
        <w:jc w:val="left"/>
        <w:tblInd w:w="0" w:type="dxa"/>
        <w:tblLayout w:type="fixed"/>
        <w:tblCellMar>
          <w:top w:w="0" w:type="dxa"/>
          <w:left w:w="0" w:type="dxa"/>
          <w:bottom w:w="0" w:type="dxa"/>
          <w:right w:w="0" w:type="dxa"/>
        </w:tblCellMar>
      </w:tblPr>
      <w:tblGrid>
        <w:gridCol w:w="1940"/>
        <w:gridCol w:w="60"/>
        <w:gridCol w:w="23"/>
        <w:gridCol w:w="60"/>
        <w:gridCol w:w="650"/>
        <w:gridCol w:w="60"/>
        <w:gridCol w:w="3980"/>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90" w:type="dxa"/>
            <w:gridSpan w:val="3"/>
            <w:tcBorders/>
            <w:vAlign w:val="center"/>
          </w:tcPr>
          <w:p>
            <w:pPr>
              <w:pStyle w:val="TableContents"/>
              <w:bidi w:val="0"/>
              <w:spacing w:before="0" w:after="283"/>
              <w:jc w:val="left"/>
              <w:rPr/>
            </w:pPr>
            <w:r>
              <w:rPr/>
              <w:t>AFFILIATED MANAGERS GROUP,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040"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28,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Kavita Padiyar</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Kavita Padiyar</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pPr>
            <w:r>
              <w:rPr/>
              <w:t>General Counsel and Corporate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691</Words>
  <Characters>3887</Characters>
  <CharactersWithSpaces>4648</CharactersWithSpaces>
  <Paragraphs>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