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jc w:val="left"/>
        <w:rPr/>
      </w:pPr>
      <w:hyperlink w:anchor="i0d415e0c8fe341d6963f39ad673f7ea6_7">
        <w:bookmarkStart w:id="0" w:name="amg-20260630.htm"/>
        <w:bookmarkStart w:id="1" w:name="ksamg20260630"/>
        <w:bookmarkEnd w:id="0"/>
        <w:bookmarkEnd w:id="1"/>
        <w:r>
          <w:rPr>
            <w:rStyle w:val="InternetLink"/>
            <w:rFonts w:ascii="Times New Roman;serif" w:hAnsi="Times New Roman;serif"/>
            <w:b w:val="false"/>
            <w:i w:val="false"/>
            <w:caps w:val="false"/>
            <w:smallCaps w:val="false"/>
            <w:color w:val="0000FF"/>
            <w:sz w:val="20"/>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UNITED STATES</w:t>
      </w:r>
    </w:p>
    <w:p>
      <w:pPr>
        <w:pStyle w:val="TextBody"/>
        <w:bidi w:val="0"/>
        <w:spacing w:lineRule="atLeast" w:line="360" w:before="0" w:after="0"/>
        <w:jc w:val="left"/>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SECURITIES AND EXCHANGE COMMISSION</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WASHINGTON,</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DC 205</w:t>
      </w:r>
      <w:r>
        <w:rPr>
          <w:rFonts w:ascii="Times New Roman;serif" w:hAnsi="Times New Roman;serif"/>
          <w:b/>
          <w:i w:val="false"/>
          <w:caps w:val="false"/>
          <w:smallCaps w:val="false"/>
          <w:sz w:val="20"/>
        </w:rPr>
        <w:t>49</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60" w:before="0" w:after="0"/>
        <w:jc w:val="left"/>
        <w:rPr>
          <w:sz w:val="36"/>
        </w:rPr>
      </w:pPr>
      <w:r>
        <w:rPr>
          <w:rFonts w:ascii="Times New Roman;serif" w:hAnsi="Times New Roman;serif"/>
          <w:b/>
          <w:i w:val="false"/>
          <w:caps w:val="false"/>
          <w:smallCaps w:val="false"/>
          <w:sz w:val="36"/>
        </w:rPr>
        <w:t xml:space="preserve">FORM </w:t>
      </w:r>
      <w:r>
        <w:rPr>
          <w:rFonts w:ascii="Times New Roman;serif" w:hAnsi="Times New Roman;serif"/>
          <w:b/>
          <w:i w:val="false"/>
          <w:caps w:val="false"/>
          <w:smallCaps w:val="false"/>
          <w:strike w:val="false"/>
          <w:dstrike w:val="false"/>
          <w:sz w:val="36"/>
          <w:u w:val="none"/>
          <w:effect w:val="none"/>
        </w:rPr>
        <w:t>10-Q</w:t>
      </w:r>
      <w:r>
        <w:rPr>
          <w:caps w:val="false"/>
          <w:smallCaps w:val="false"/>
          <w:sz w:val="36"/>
        </w:rPr>
        <w:t xml:space="preserve"> </w:t>
      </w:r>
    </w:p>
    <w:tbl>
      <w:tblPr>
        <w:tblW w:w="9358" w:type="dxa"/>
        <w:jc w:val="left"/>
        <w:tblInd w:w="0" w:type="dxa"/>
        <w:tblLayout w:type="fixed"/>
        <w:tblCellMar>
          <w:top w:w="28" w:type="dxa"/>
          <w:left w:w="28" w:type="dxa"/>
          <w:bottom w:w="28" w:type="dxa"/>
          <w:right w:w="28" w:type="dxa"/>
        </w:tblCellMar>
      </w:tblPr>
      <w:tblGrid>
        <w:gridCol w:w="1111"/>
        <w:gridCol w:w="146"/>
        <w:gridCol w:w="810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(Mark One)</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0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11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01"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QUARTERLY REPORT PURSUANT TO SECTION 13 OR 15(d) OF THE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SECURITIES EXCHANGE ACT OF 1934</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For the quarterly period ended </w:t>
      </w:r>
      <w:r>
        <w:rPr>
          <w:rFonts w:ascii="Times New Roman;serif" w:hAnsi="Times New Roman;serif"/>
          <w:b/>
          <w:i w:val="false"/>
          <w:caps w:val="false"/>
          <w:smallCaps w:val="false"/>
          <w:strike w:val="false"/>
          <w:dstrike w:val="false"/>
          <w:sz w:val="20"/>
          <w:u w:val="none"/>
          <w:effect w:val="none"/>
        </w:rPr>
        <w:t>June 30, 2026</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OR </w:t>
      </w:r>
    </w:p>
    <w:tbl>
      <w:tblPr>
        <w:tblW w:w="8548" w:type="dxa"/>
        <w:jc w:val="left"/>
        <w:tblInd w:w="0" w:type="dxa"/>
        <w:tblLayout w:type="fixed"/>
        <w:tblCellMar>
          <w:top w:w="28" w:type="dxa"/>
          <w:left w:w="28" w:type="dxa"/>
          <w:bottom w:w="28" w:type="dxa"/>
          <w:right w:w="28" w:type="dxa"/>
        </w:tblCellMar>
      </w:tblPr>
      <w:tblGrid>
        <w:gridCol w:w="331"/>
        <w:gridCol w:w="146"/>
        <w:gridCol w:w="807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071"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TRANSITION REPORT PURSUANT TO SECTION 13 OR 15(d) OF THE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SECURITIES EXCHANGE ACT OF 1934</w:t>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to          </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Commission File Number </w:t>
      </w:r>
      <w:r>
        <w:rPr>
          <w:rFonts w:ascii="Times New Roman;serif" w:hAnsi="Times New Roman;serif"/>
          <w:b/>
          <w:i w:val="false"/>
          <w:caps w:val="false"/>
          <w:smallCaps w:val="false"/>
          <w:strike w:val="false"/>
          <w:dstrike w:val="false"/>
          <w:sz w:val="20"/>
          <w:u w:val="none"/>
          <w:effect w:val="none"/>
        </w:rPr>
        <w:t>001-13459</w:t>
      </w:r>
      <w:r>
        <w:rPr>
          <w:caps w:val="false"/>
          <w:smallCaps w:val="false"/>
          <w:sz w:val="24"/>
        </w:rPr>
        <w:t xml:space="preserve">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371600" cy="595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95630"/>
                    </a:xfrm>
                    <a:prstGeom prst="rect">
                      <a:avLst/>
                    </a:prstGeom>
                  </pic:spPr>
                </pic:pic>
              </a:graphicData>
            </a:graphic>
          </wp:inline>
        </w:drawing>
      </w:r>
      <w:bookmarkStart w:id="2" w:name="i-1"/>
      <w:bookmarkEnd w:id="2"/>
    </w:p>
    <w:p>
      <w:pPr>
        <w:pStyle w:val="TextBody"/>
        <w:bidi w:val="0"/>
        <w:spacing w:lineRule="atLeast" w:line="360" w:before="0" w:after="0"/>
        <w:jc w:val="left"/>
        <w:rPr>
          <w:sz w:val="36"/>
        </w:rPr>
      </w:pPr>
      <w:r>
        <w:rPr>
          <w:rFonts w:ascii="Times New Roman;serif" w:hAnsi="Times New Roman;serif"/>
          <w:b/>
          <w:i w:val="false"/>
          <w:caps w:val="false"/>
          <w:smallCaps w:val="false"/>
          <w:strike w:val="false"/>
          <w:dstrike w:val="false"/>
          <w:sz w:val="36"/>
          <w:u w:val="none"/>
          <w:effect w:val="none"/>
        </w:rPr>
        <w:t>AFFILIATED MANAGERS GROUP, INC.</w:t>
      </w:r>
      <w:r>
        <w:rPr>
          <w:caps w:val="false"/>
          <w:smallCaps w:val="false"/>
          <w:sz w:val="36"/>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6193" w:type="dxa"/>
        <w:jc w:val="left"/>
        <w:tblInd w:w="0" w:type="dxa"/>
        <w:tblLayout w:type="fixed"/>
        <w:tblCellMar>
          <w:top w:w="28" w:type="dxa"/>
          <w:left w:w="28" w:type="dxa"/>
          <w:bottom w:w="28" w:type="dxa"/>
          <w:right w:w="28" w:type="dxa"/>
        </w:tblCellMar>
      </w:tblPr>
      <w:tblGrid>
        <w:gridCol w:w="2791"/>
        <w:gridCol w:w="146"/>
        <w:gridCol w:w="325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04-3218510</w:t>
            </w:r>
          </w:p>
        </w:tc>
      </w:tr>
      <w:tr>
        <w:trPr/>
        <w:tc>
          <w:tcPr>
            <w:tcW w:w="27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 or other jurisdiction</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of incorporation or organization)</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(IRS Employer Identification Number)</w:t>
            </w:r>
          </w:p>
        </w:tc>
      </w:tr>
    </w:tbl>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1001 U.S. Highway One North, Jupiter, Florida</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33477</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(800) 345-1100</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891" w:type="dxa"/>
        <w:jc w:val="left"/>
        <w:tblInd w:w="0" w:type="dxa"/>
        <w:tblLayout w:type="fixed"/>
        <w:tblCellMar>
          <w:top w:w="28" w:type="dxa"/>
          <w:left w:w="28" w:type="dxa"/>
          <w:bottom w:w="28" w:type="dxa"/>
          <w:right w:w="28" w:type="dxa"/>
        </w:tblCellMar>
      </w:tblPr>
      <w:tblGrid>
        <w:gridCol w:w="3901"/>
        <w:gridCol w:w="109"/>
        <w:gridCol w:w="1456"/>
        <w:gridCol w:w="109"/>
        <w:gridCol w:w="3316"/>
      </w:tblGrid>
      <w:tr>
        <w:trPr/>
        <w:tc>
          <w:tcPr>
            <w:tcW w:w="3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Name of each exchange on which registered</w:t>
            </w:r>
          </w:p>
        </w:tc>
      </w:tr>
      <w:tr>
        <w:trPr/>
        <w:tc>
          <w:tcPr>
            <w:tcW w:w="39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Common Stock ($0.01 par value)</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AMG</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5.875% Junior Subordinated Notes due 2059</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4.750% Junior Subordinated Notes due 2060</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MGRB</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4.200% Junior Subordinated Notes due 2061</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MGRD</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6.750% Junior Subordinated Notes due 2064</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MGRE</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bl>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Exchange Act of 1934 during the preceding 12 months (or for such shorter period that the registrant was required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file such reports), and (2) has been subject to such filing requirements for the past 90 days.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xml:space="preserve"> ☒ </w:t>
      </w:r>
      <w:r>
        <w:rPr>
          <w:rFonts w:ascii="Times New Roman;serif" w:hAnsi="Times New Roman;serif"/>
          <w:b w:val="false"/>
          <w:i w:val="false"/>
          <w:caps w:val="false"/>
          <w:smallCaps w:val="false"/>
          <w:sz w:val="20"/>
        </w:rPr>
        <w:t>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submitted pursuant to Rule 405 of Regulation S-T (§232.405 of this chapter) during the preceding 12 months (or for such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shorter period that the registrant was required to submit such files).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xml:space="preserve"> ☒ </w:t>
      </w:r>
      <w:r>
        <w:rPr>
          <w:rFonts w:ascii="Times New Roman;serif" w:hAnsi="Times New Roman;serif"/>
          <w:b w:val="false"/>
          <w:i w:val="false"/>
          <w:caps w:val="false"/>
          <w:smallCaps w:val="false"/>
          <w:sz w:val="20"/>
        </w:rPr>
        <w:t>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smaller reporting company, or an emerging growth company. See the definitions of “large accelerated filer,” “accelerated filer,”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750"/>
        <w:gridCol w:w="316"/>
        <w:gridCol w:w="146"/>
        <w:gridCol w:w="1441"/>
        <w:gridCol w:w="316"/>
        <w:gridCol w:w="146"/>
        <w:gridCol w:w="1846"/>
        <w:gridCol w:w="316"/>
        <w:gridCol w:w="146"/>
        <w:gridCol w:w="1561"/>
        <w:gridCol w:w="316"/>
        <w:gridCol w:w="109"/>
        <w:gridCol w:w="1434"/>
        <w:gridCol w:w="362"/>
      </w:tblGrid>
      <w:tr>
        <w:trPr/>
        <w:tc>
          <w:tcPr>
            <w:tcW w:w="17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50"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Large accelerated filer</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Accelerated filer</w:t>
            </w:r>
          </w:p>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84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Non-accelerated filer </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Smaller reporting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company</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Emerging growth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company</w:t>
            </w:r>
          </w:p>
        </w:tc>
        <w:tc>
          <w:tcPr>
            <w:tcW w:w="362"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period for complying with any new or revised financial accounting standards provided pursuant to Section 13(a)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Exchange Act. ☐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Indicate by check mark whether the registrant is a shell company (as defined in Rule 12b-2 of the Exchange Act). Yes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There were </w:t>
      </w:r>
      <w:r>
        <w:rPr>
          <w:rFonts w:ascii="Times New Roman;serif" w:hAnsi="Times New Roman;serif"/>
          <w:b w:val="false"/>
          <w:i w:val="false"/>
          <w:caps w:val="false"/>
          <w:smallCaps w:val="false"/>
          <w:strike w:val="false"/>
          <w:dstrike w:val="false"/>
          <w:sz w:val="20"/>
          <w:u w:val="none"/>
          <w:effect w:val="none"/>
        </w:rPr>
        <w:t>25,859,933</w:t>
      </w:r>
      <w:r>
        <w:rPr>
          <w:caps w:val="false"/>
          <w:smallCaps w:val="false"/>
          <w:sz w:val="24"/>
        </w:rPr>
        <w:t xml:space="preserve"> </w:t>
      </w:r>
      <w:r>
        <w:rPr>
          <w:rFonts w:ascii="Times New Roman;serif" w:hAnsi="Times New Roman;serif"/>
          <w:b w:val="false"/>
          <w:i w:val="false"/>
          <w:caps w:val="false"/>
          <w:smallCaps w:val="false"/>
          <w:sz w:val="20"/>
        </w:rPr>
        <w:t xml:space="preserve">shares of the registrant’s common stock outstanding on </w:t>
      </w:r>
      <w:r>
        <w:rPr>
          <w:rFonts w:ascii="Times New Roman;serif" w:hAnsi="Times New Roman;serif"/>
          <w:b w:val="false"/>
          <w:i w:val="false"/>
          <w:caps w:val="false"/>
          <w:smallCaps w:val="false"/>
          <w:strike w:val="false"/>
          <w:dstrike w:val="false"/>
          <w:sz w:val="20"/>
          <w:u w:val="none"/>
          <w:effect w:val="none"/>
        </w:rPr>
        <w:t>August 5, 2026.</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10-Q</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TABLE OF CONTENTS</w:t>
      </w:r>
    </w:p>
    <w:tbl>
      <w:tblPr>
        <w:tblW w:w="8975" w:type="dxa"/>
        <w:jc w:val="left"/>
        <w:tblInd w:w="0" w:type="dxa"/>
        <w:tblLayout w:type="fixed"/>
        <w:tblCellMar>
          <w:top w:w="28" w:type="dxa"/>
          <w:left w:w="28" w:type="dxa"/>
          <w:bottom w:w="28" w:type="dxa"/>
          <w:right w:w="28" w:type="dxa"/>
        </w:tblCellMar>
      </w:tblPr>
      <w:tblGrid>
        <w:gridCol w:w="187"/>
        <w:gridCol w:w="789"/>
        <w:gridCol w:w="164"/>
        <w:gridCol w:w="181"/>
        <w:gridCol w:w="7184"/>
        <w:gridCol w:w="109"/>
        <w:gridCol w:w="361"/>
      </w:tblGrid>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76" w:type="dxa"/>
            <w:gridSpan w:val="2"/>
            <w:tcBorders/>
            <w:vAlign w:val="center"/>
          </w:tcPr>
          <w:p>
            <w:pPr>
              <w:pStyle w:val="TableContents"/>
              <w:bidi w:val="0"/>
              <w:spacing w:lineRule="atLeast" w:line="200" w:before="0" w:after="0"/>
              <w:jc w:val="left"/>
              <w:rPr/>
            </w:pPr>
            <w:hyperlink w:anchor="i0d415e0c8fe341d6963f39ad673f7ea6_10">
              <w:r>
                <w:rPr>
                  <w:rStyle w:val="InternetLink"/>
                  <w:rFonts w:ascii="Times New Roman;serif" w:hAnsi="Times New Roman;serif"/>
                  <w:b/>
                  <w:i w:val="false"/>
                  <w:caps w:val="false"/>
                  <w:smallCaps w:val="false"/>
                  <w:color w:val="0000FF"/>
                  <w:sz w:val="20"/>
                  <w:u w:val="single"/>
                </w:rPr>
                <w:t>PART I</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10">
              <w:r>
                <w:rPr>
                  <w:rStyle w:val="InternetLink"/>
                  <w:rFonts w:ascii="Times New Roman;serif" w:hAnsi="Times New Roman;serif"/>
                  <w:b/>
                  <w:i w:val="false"/>
                  <w:caps w:val="false"/>
                  <w:smallCaps w:val="false"/>
                  <w:color w:val="0000FF"/>
                  <w:sz w:val="20"/>
                  <w:u w:val="single"/>
                </w:rPr>
                <w:t>FINANCIAL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0">
              <w:r>
                <w:rPr>
                  <w:rStyle w:val="InternetLink"/>
                  <w:rFonts w:ascii="Times New Roman;serif" w:hAnsi="Times New Roman;serif"/>
                  <w:b w:val="false"/>
                  <w:i w:val="false"/>
                  <w:caps w:val="false"/>
                  <w:smallCaps w:val="false"/>
                  <w:color w:val="0000FF"/>
                  <w:sz w:val="20"/>
                  <w:u w:val="single"/>
                </w:rPr>
                <w:t>2</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lineRule="atLeast" w:line="200" w:before="0" w:after="0"/>
              <w:jc w:val="left"/>
              <w:rPr/>
            </w:pPr>
            <w:hyperlink w:anchor="i0d415e0c8fe341d6963f39ad673f7ea6_13">
              <w:r>
                <w:rPr>
                  <w:rStyle w:val="InternetLink"/>
                  <w:rFonts w:ascii="Times New Roman;serif" w:hAnsi="Times New Roman;serif"/>
                  <w:b w:val="false"/>
                  <w:i w:val="false"/>
                  <w:caps w:val="false"/>
                  <w:smallCaps w:val="false"/>
                  <w:color w:val="0000FF"/>
                  <w:sz w:val="20"/>
                  <w:u w:val="single"/>
                </w:rPr>
                <w:t>Item 1.</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13">
              <w:r>
                <w:rPr>
                  <w:rStyle w:val="InternetLink"/>
                  <w:rFonts w:ascii="Times New Roman;serif" w:hAnsi="Times New Roman;serif"/>
                  <w:b w:val="false"/>
                  <w:i w:val="false"/>
                  <w:caps w:val="false"/>
                  <w:smallCaps w:val="false"/>
                  <w:color w:val="0000FF"/>
                  <w:sz w:val="20"/>
                  <w:u w:val="single"/>
                </w:rPr>
                <w:t>Financial Statements (unaudited)</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3">
              <w:r>
                <w:rPr>
                  <w:rStyle w:val="InternetLink"/>
                  <w:rFonts w:ascii="Times New Roman;serif" w:hAnsi="Times New Roman;serif"/>
                  <w:b w:val="false"/>
                  <w:i w:val="false"/>
                  <w:caps w:val="false"/>
                  <w:smallCaps w:val="false"/>
                  <w:color w:val="0000FF"/>
                  <w:sz w:val="20"/>
                  <w:u w:val="single"/>
                </w:rPr>
                <w:t>2</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lineRule="atLeast" w:line="200" w:before="0" w:after="0"/>
              <w:jc w:val="left"/>
              <w:rPr/>
            </w:pPr>
            <w:hyperlink w:anchor="i0d415e0c8fe341d6963f39ad673f7ea6_16">
              <w:r>
                <w:rPr>
                  <w:rStyle w:val="InternetLink"/>
                  <w:rFonts w:ascii="Times New Roman;serif" w:hAnsi="Times New Roman;serif"/>
                  <w:b w:val="false"/>
                  <w:i w:val="false"/>
                  <w:caps w:val="false"/>
                  <w:smallCaps w:val="false"/>
                  <w:color w:val="0000FF"/>
                  <w:sz w:val="20"/>
                  <w:u w:val="single"/>
                </w:rPr>
                <w:t>Consolidated Statements of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6">
              <w:r>
                <w:rPr>
                  <w:rStyle w:val="InternetLink"/>
                  <w:rFonts w:ascii="Times New Roman;serif" w:hAnsi="Times New Roman;serif"/>
                  <w:b w:val="false"/>
                  <w:i w:val="false"/>
                  <w:caps w:val="false"/>
                  <w:smallCaps w:val="false"/>
                  <w:color w:val="0000FF"/>
                  <w:sz w:val="20"/>
                  <w:u w:val="single"/>
                </w:rPr>
                <w:t>2</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lineRule="atLeast" w:line="200" w:before="0" w:after="0"/>
              <w:jc w:val="left"/>
              <w:rPr/>
            </w:pPr>
            <w:hyperlink w:anchor="i0d415e0c8fe341d6963f39ad673f7ea6_19">
              <w:r>
                <w:rPr>
                  <w:rStyle w:val="InternetLink"/>
                  <w:rFonts w:ascii="Times New Roman;serif" w:hAnsi="Times New Roman;serif"/>
                  <w:b w:val="false"/>
                  <w:i w:val="false"/>
                  <w:caps w:val="false"/>
                  <w:smallCaps w:val="false"/>
                  <w:color w:val="0000FF"/>
                  <w:sz w:val="20"/>
                  <w:u w:val="single"/>
                </w:rPr>
                <w:t>Consolidated Statements of Comprehensive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9">
              <w:r>
                <w:rPr>
                  <w:rStyle w:val="InternetLink"/>
                  <w:rFonts w:ascii="Times New Roman;serif" w:hAnsi="Times New Roman;serif"/>
                  <w:b w:val="false"/>
                  <w:i w:val="false"/>
                  <w:caps w:val="false"/>
                  <w:smallCaps w:val="false"/>
                  <w:color w:val="0000FF"/>
                  <w:sz w:val="20"/>
                  <w:u w:val="single"/>
                </w:rPr>
                <w:t>3</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lineRule="atLeast" w:line="200" w:before="0" w:after="0"/>
              <w:jc w:val="left"/>
              <w:rPr/>
            </w:pPr>
            <w:hyperlink w:anchor="i0d415e0c8fe341d6963f39ad673f7ea6_22">
              <w:r>
                <w:rPr>
                  <w:rStyle w:val="InternetLink"/>
                  <w:rFonts w:ascii="Times New Roman;serif" w:hAnsi="Times New Roman;serif"/>
                  <w:b w:val="false"/>
                  <w:i w:val="false"/>
                  <w:caps w:val="false"/>
                  <w:smallCaps w:val="false"/>
                  <w:color w:val="0000FF"/>
                  <w:sz w:val="20"/>
                  <w:u w:val="single"/>
                </w:rPr>
                <w:t>Consolidated Balance Sheets</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22">
              <w:r>
                <w:rPr>
                  <w:rStyle w:val="InternetLink"/>
                  <w:rFonts w:ascii="Times New Roman;serif" w:hAnsi="Times New Roman;serif"/>
                  <w:b w:val="false"/>
                  <w:i w:val="false"/>
                  <w:caps w:val="false"/>
                  <w:smallCaps w:val="false"/>
                  <w:color w:val="0000FF"/>
                  <w:sz w:val="20"/>
                  <w:u w:val="single"/>
                </w:rPr>
                <w:t>4</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lineRule="atLeast" w:line="200" w:before="0" w:after="0"/>
              <w:jc w:val="left"/>
              <w:rPr/>
            </w:pPr>
            <w:hyperlink w:anchor="i0d415e0c8fe341d6963f39ad673f7ea6_28">
              <w:r>
                <w:rPr>
                  <w:rStyle w:val="InternetLink"/>
                  <w:rFonts w:ascii="Times New Roman;serif" w:hAnsi="Times New Roman;serif"/>
                  <w:b w:val="false"/>
                  <w:i w:val="false"/>
                  <w:caps w:val="false"/>
                  <w:smallCaps w:val="false"/>
                  <w:color w:val="0000FF"/>
                  <w:sz w:val="20"/>
                  <w:u w:val="single"/>
                </w:rPr>
                <w:t>Consolidated Statements of Changes in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28">
              <w:r>
                <w:rPr>
                  <w:rStyle w:val="InternetLink"/>
                  <w:rFonts w:ascii="Times New Roman;serif" w:hAnsi="Times New Roman;serif"/>
                  <w:b w:val="false"/>
                  <w:i w:val="false"/>
                  <w:caps w:val="false"/>
                  <w:smallCaps w:val="false"/>
                  <w:color w:val="0000FF"/>
                  <w:sz w:val="20"/>
                  <w:u w:val="single"/>
                </w:rPr>
                <w:t>5</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lineRule="atLeast" w:line="200" w:before="0" w:after="0"/>
              <w:jc w:val="left"/>
              <w:rPr/>
            </w:pPr>
            <w:hyperlink w:anchor="i0d415e0c8fe341d6963f39ad673f7ea6_31">
              <w:r>
                <w:rPr>
                  <w:rStyle w:val="InternetLink"/>
                  <w:rFonts w:ascii="Times New Roman;serif" w:hAnsi="Times New Roman;serif"/>
                  <w:b w:val="false"/>
                  <w:i w:val="false"/>
                  <w:caps w:val="false"/>
                  <w:smallCaps w:val="false"/>
                  <w:color w:val="0000FF"/>
                  <w:sz w:val="20"/>
                  <w:u w:val="single"/>
                </w:rPr>
                <w:t>Consolidated Statements of Cash Flows</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31">
              <w:r>
                <w:rPr>
                  <w:rStyle w:val="InternetLink"/>
                  <w:rFonts w:ascii="Times New Roman;serif" w:hAnsi="Times New Roman;serif"/>
                  <w:b w:val="false"/>
                  <w:i w:val="false"/>
                  <w:caps w:val="false"/>
                  <w:smallCaps w:val="false"/>
                  <w:color w:val="0000FF"/>
                  <w:sz w:val="20"/>
                  <w:u w:val="single"/>
                </w:rPr>
                <w:t>7</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lineRule="atLeast" w:line="200" w:before="0" w:after="0"/>
              <w:jc w:val="left"/>
              <w:rPr/>
            </w:pPr>
            <w:hyperlink w:anchor="i0d415e0c8fe341d6963f39ad673f7ea6_37">
              <w:r>
                <w:rPr>
                  <w:rStyle w:val="InternetLink"/>
                  <w:rFonts w:ascii="Times New Roman;serif" w:hAnsi="Times New Roman;serif"/>
                  <w:b w:val="false"/>
                  <w:i w:val="false"/>
                  <w:caps w:val="false"/>
                  <w:smallCaps w:val="false"/>
                  <w:color w:val="0000FF"/>
                  <w:sz w:val="20"/>
                  <w:u w:val="singl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37">
              <w:r>
                <w:rPr>
                  <w:rStyle w:val="InternetLink"/>
                  <w:rFonts w:ascii="Times New Roman;serif" w:hAnsi="Times New Roman;serif"/>
                  <w:b w:val="false"/>
                  <w:i w:val="false"/>
                  <w:caps w:val="false"/>
                  <w:smallCaps w:val="false"/>
                  <w:color w:val="0000FF"/>
                  <w:sz w:val="20"/>
                  <w:u w:val="single"/>
                </w:rPr>
                <w:t>8</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lineRule="atLeast" w:line="200" w:before="0" w:after="0"/>
              <w:jc w:val="left"/>
              <w:rPr/>
            </w:pPr>
            <w:hyperlink w:anchor="i0d415e0c8fe341d6963f39ad673f7ea6_91">
              <w:r>
                <w:rPr>
                  <w:rStyle w:val="InternetLink"/>
                  <w:rFonts w:ascii="Times New Roman;serif" w:hAnsi="Times New Roman;serif"/>
                  <w:b w:val="false"/>
                  <w:i w:val="false"/>
                  <w:caps w:val="false"/>
                  <w:smallCaps w:val="false"/>
                  <w:color w:val="0000FF"/>
                  <w:sz w:val="20"/>
                  <w:u w:val="single"/>
                </w:rPr>
                <w:t>Item 2.</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91">
              <w:r>
                <w:rPr>
                  <w:rStyle w:val="InternetLink"/>
                  <w:rFonts w:ascii="Times New Roman;serif" w:hAnsi="Times New Roman;serif"/>
                  <w:b w:val="false"/>
                  <w:i w:val="false"/>
                  <w:caps w:val="false"/>
                  <w:smallCaps w:val="false"/>
                  <w:color w:val="0000FF"/>
                  <w:sz w:val="20"/>
                  <w:u w:val="single"/>
                </w:rPr>
                <w:t>Management’s Discussion and Analysis of Financial Condition and Results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91">
              <w:r>
                <w:rPr>
                  <w:rStyle w:val="InternetLink"/>
                  <w:rFonts w:ascii="Times New Roman;serif" w:hAnsi="Times New Roman;serif"/>
                  <w:b w:val="false"/>
                  <w:i w:val="false"/>
                  <w:caps w:val="false"/>
                  <w:smallCaps w:val="false"/>
                  <w:color w:val="0000FF"/>
                  <w:sz w:val="20"/>
                  <w:u w:val="single"/>
                </w:rPr>
                <w:t>28</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shd w:fill="FFFFFF" w:val="clear"/>
            <w:vAlign w:val="center"/>
          </w:tcPr>
          <w:p>
            <w:pPr>
              <w:pStyle w:val="TableContents"/>
              <w:bidi w:val="0"/>
              <w:spacing w:before="0" w:after="283"/>
              <w:jc w:val="left"/>
              <w:rPr>
                <w:sz w:val="4"/>
                <w:szCs w:val="4"/>
              </w:rPr>
            </w:pPr>
            <w:r>
              <w:rPr>
                <w:sz w:val="4"/>
                <w:szCs w:val="4"/>
              </w:rPr>
            </w:r>
          </w:p>
        </w:tc>
        <w:tc>
          <w:tcPr>
            <w:tcW w:w="789" w:type="dxa"/>
            <w:tcBorders/>
            <w:shd w:fill="FFFFFF" w:val="clear"/>
            <w:vAlign w:val="center"/>
          </w:tcPr>
          <w:p>
            <w:pPr>
              <w:pStyle w:val="TableContents"/>
              <w:bidi w:val="0"/>
              <w:spacing w:lineRule="atLeast" w:line="200" w:before="0" w:after="0"/>
              <w:jc w:val="left"/>
              <w:rPr/>
            </w:pPr>
            <w:hyperlink w:anchor="i0d415e0c8fe341d6963f39ad673f7ea6_148">
              <w:r>
                <w:rPr>
                  <w:rStyle w:val="InternetLink"/>
                  <w:rFonts w:ascii="Times New Roman;serif" w:hAnsi="Times New Roman;serif"/>
                  <w:b w:val="false"/>
                  <w:i w:val="false"/>
                  <w:caps w:val="false"/>
                  <w:smallCaps w:val="false"/>
                  <w:color w:val="0000FF"/>
                  <w:sz w:val="20"/>
                  <w:u w:val="single"/>
                </w:rPr>
                <w:t>Item 3.</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148">
              <w:r>
                <w:rPr>
                  <w:rStyle w:val="InternetLink"/>
                  <w:rFonts w:ascii="Times New Roman;serif" w:hAnsi="Times New Roman;serif"/>
                  <w:b w:val="false"/>
                  <w:i w:val="false"/>
                  <w:caps w:val="false"/>
                  <w:smallCaps w:val="false"/>
                  <w:color w:val="0000FF"/>
                  <w:sz w:val="20"/>
                  <w:u w:val="singl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48">
              <w:r>
                <w:rPr>
                  <w:rStyle w:val="InternetLink"/>
                  <w:rFonts w:ascii="Times New Roman;serif" w:hAnsi="Times New Roman;serif"/>
                  <w:b w:val="false"/>
                  <w:i w:val="false"/>
                  <w:caps w:val="false"/>
                  <w:smallCaps w:val="false"/>
                  <w:color w:val="0000FF"/>
                  <w:sz w:val="20"/>
                  <w:u w:val="single"/>
                </w:rPr>
                <w:t>43</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lineRule="atLeast" w:line="200" w:before="0" w:after="0"/>
              <w:jc w:val="left"/>
              <w:rPr/>
            </w:pPr>
            <w:hyperlink w:anchor="i0d415e0c8fe341d6963f39ad673f7ea6_151">
              <w:r>
                <w:rPr>
                  <w:rStyle w:val="InternetLink"/>
                  <w:rFonts w:ascii="Times New Roman;serif" w:hAnsi="Times New Roman;serif"/>
                  <w:b w:val="false"/>
                  <w:i w:val="false"/>
                  <w:caps w:val="false"/>
                  <w:smallCaps w:val="false"/>
                  <w:color w:val="0000FF"/>
                  <w:sz w:val="20"/>
                  <w:u w:val="single"/>
                </w:rPr>
                <w:t>Item 4.</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151">
              <w:r>
                <w:rPr>
                  <w:rStyle w:val="InternetLink"/>
                  <w:rFonts w:ascii="Times New Roman;serif" w:hAnsi="Times New Roman;serif"/>
                  <w:b w:val="false"/>
                  <w:i w:val="false"/>
                  <w:caps w:val="false"/>
                  <w:smallCaps w:val="false"/>
                  <w:color w:val="0000FF"/>
                  <w:sz w:val="20"/>
                  <w:u w:val="single"/>
                </w:rPr>
                <w:t>Controls and Procedures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51">
              <w:r>
                <w:rPr>
                  <w:rStyle w:val="InternetLink"/>
                  <w:rFonts w:ascii="Times New Roman;serif" w:hAnsi="Times New Roman;serif"/>
                  <w:b w:val="false"/>
                  <w:i w:val="false"/>
                  <w:caps w:val="false"/>
                  <w:smallCaps w:val="false"/>
                  <w:color w:val="0000FF"/>
                  <w:sz w:val="20"/>
                  <w:u w:val="single"/>
                </w:rPr>
                <w:t>43</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76" w:type="dxa"/>
            <w:gridSpan w:val="2"/>
            <w:tcBorders/>
            <w:vAlign w:val="center"/>
          </w:tcPr>
          <w:p>
            <w:pPr>
              <w:pStyle w:val="TableContents"/>
              <w:bidi w:val="0"/>
              <w:spacing w:lineRule="atLeast" w:line="200" w:before="0" w:after="0"/>
              <w:jc w:val="left"/>
              <w:rPr/>
            </w:pPr>
            <w:hyperlink w:anchor="i0d415e0c8fe341d6963f39ad673f7ea6_154">
              <w:r>
                <w:rPr>
                  <w:rStyle w:val="InternetLink"/>
                  <w:rFonts w:ascii="Times New Roman;serif" w:hAnsi="Times New Roman;serif"/>
                  <w:b/>
                  <w:i w:val="false"/>
                  <w:caps w:val="false"/>
                  <w:smallCaps w:val="false"/>
                  <w:color w:val="0000FF"/>
                  <w:sz w:val="20"/>
                  <w:u w:val="single"/>
                </w:rPr>
                <w:t>PART II</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154">
              <w:r>
                <w:rPr>
                  <w:rStyle w:val="InternetLink"/>
                  <w:rFonts w:ascii="Times New Roman;serif" w:hAnsi="Times New Roman;serif"/>
                  <w:b/>
                  <w:i w:val="false"/>
                  <w:caps w:val="false"/>
                  <w:smallCaps w:val="false"/>
                  <w:color w:val="0000FF"/>
                  <w:sz w:val="20"/>
                  <w:u w:val="singl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54">
              <w:r>
                <w:rPr>
                  <w:rStyle w:val="InternetLink"/>
                  <w:rFonts w:ascii="Times New Roman;serif" w:hAnsi="Times New Roman;serif"/>
                  <w:b w:val="false"/>
                  <w:i w:val="false"/>
                  <w:caps w:val="false"/>
                  <w:smallCaps w:val="false"/>
                  <w:color w:val="0000FF"/>
                  <w:sz w:val="20"/>
                  <w:u w:val="single"/>
                </w:rPr>
                <w:t>44</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lineRule="atLeast" w:line="200" w:before="0" w:after="0"/>
              <w:jc w:val="left"/>
              <w:rPr/>
            </w:pPr>
            <w:hyperlink w:anchor="i0d415e0c8fe341d6963f39ad673f7ea6_157">
              <w:r>
                <w:rPr>
                  <w:rStyle w:val="InternetLink"/>
                  <w:rFonts w:ascii="Times New Roman;serif" w:hAnsi="Times New Roman;serif"/>
                  <w:b w:val="false"/>
                  <w:i w:val="false"/>
                  <w:caps w:val="false"/>
                  <w:smallCaps w:val="false"/>
                  <w:color w:val="0000FF"/>
                  <w:sz w:val="20"/>
                  <w:u w:val="single"/>
                </w:rPr>
                <w:t>Item 2.</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157">
              <w:r>
                <w:rPr>
                  <w:rStyle w:val="InternetLink"/>
                  <w:rFonts w:ascii="Times New Roman;serif" w:hAnsi="Times New Roman;serif"/>
                  <w:b w:val="false"/>
                  <w:i w:val="false"/>
                  <w:caps w:val="false"/>
                  <w:smallCaps w:val="false"/>
                  <w:color w:val="0000FF"/>
                  <w:sz w:val="20"/>
                  <w:u w:val="single"/>
                </w:rPr>
                <w:t>Unregistered Sales of Equity Securities and Use of Proceeds</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57">
              <w:r>
                <w:rPr>
                  <w:rStyle w:val="InternetLink"/>
                  <w:rFonts w:ascii="Times New Roman;serif" w:hAnsi="Times New Roman;serif"/>
                  <w:b w:val="false"/>
                  <w:i w:val="false"/>
                  <w:caps w:val="false"/>
                  <w:smallCaps w:val="false"/>
                  <w:color w:val="0000FF"/>
                  <w:sz w:val="20"/>
                  <w:u w:val="single"/>
                </w:rPr>
                <w:t>44</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lineRule="atLeast" w:line="200" w:before="0" w:after="0"/>
              <w:jc w:val="left"/>
              <w:rPr/>
            </w:pPr>
            <w:hyperlink w:anchor="i0d415e0c8fe341d6963f39ad673f7ea6_163">
              <w:r>
                <w:rPr>
                  <w:rStyle w:val="InternetLink"/>
                  <w:rFonts w:ascii="Times New Roman;serif" w:hAnsi="Times New Roman;serif"/>
                  <w:b w:val="false"/>
                  <w:i w:val="false"/>
                  <w:caps w:val="false"/>
                  <w:smallCaps w:val="false"/>
                  <w:color w:val="0000FF"/>
                  <w:sz w:val="20"/>
                  <w:u w:val="single"/>
                </w:rPr>
                <w:t>Item 6.</w:t>
              </w:r>
            </w:hyperlink>
          </w:p>
        </w:tc>
        <w:tc>
          <w:tcPr>
            <w:tcW w:w="164" w:type="dxa"/>
            <w:tcBorders/>
            <w:vAlign w:val="center"/>
          </w:tcPr>
          <w:p>
            <w:pPr>
              <w:pStyle w:val="TableContents"/>
              <w:bidi w:val="0"/>
              <w:spacing w:before="0" w:after="283"/>
              <w:jc w:val="left"/>
              <w:rPr>
                <w:sz w:val="4"/>
                <w:szCs w:val="4"/>
              </w:rPr>
            </w:pPr>
            <w:r>
              <w:rPr>
                <w:sz w:val="4"/>
                <w:szCs w:val="4"/>
              </w:rPr>
            </w:r>
          </w:p>
        </w:tc>
        <w:tc>
          <w:tcPr>
            <w:tcW w:w="7365" w:type="dxa"/>
            <w:gridSpan w:val="2"/>
            <w:tcBorders/>
            <w:vAlign w:val="center"/>
          </w:tcPr>
          <w:p>
            <w:pPr>
              <w:pStyle w:val="TableContents"/>
              <w:bidi w:val="0"/>
              <w:spacing w:lineRule="atLeast" w:line="200" w:before="0" w:after="0"/>
              <w:jc w:val="left"/>
              <w:rPr/>
            </w:pPr>
            <w:hyperlink w:anchor="i0d415e0c8fe341d6963f39ad673f7ea6_163">
              <w:r>
                <w:rPr>
                  <w:rStyle w:val="InternetLink"/>
                  <w:rFonts w:ascii="Times New Roman;serif" w:hAnsi="Times New Roman;serif"/>
                  <w:b w:val="false"/>
                  <w:i w:val="false"/>
                  <w:caps w:val="false"/>
                  <w:smallCaps w:val="false"/>
                  <w:color w:val="0000FF"/>
                  <w:sz w:val="20"/>
                  <w:u w:val="single"/>
                </w:rPr>
                <w:t>Exhibits</w:t>
              </w:r>
            </w:hyperlink>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63">
              <w:r>
                <w:rPr>
                  <w:rStyle w:val="InternetLink"/>
                  <w:rFonts w:ascii="Times New Roman;serif" w:hAnsi="Times New Roman;serif"/>
                  <w:b w:val="false"/>
                  <w:i w:val="false"/>
                  <w:caps w:val="false"/>
                  <w:smallCaps w:val="false"/>
                  <w:color w:val="0000FF"/>
                  <w:sz w:val="20"/>
                  <w:u w:val="single"/>
                </w:rPr>
                <w:t>44</w:t>
              </w:r>
            </w:hyperlink>
          </w:p>
        </w:tc>
      </w:tr>
      <w:tr>
        <w:trPr/>
        <w:tc>
          <w:tcPr>
            <w:tcW w:w="1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21" w:type="dxa"/>
            <w:gridSpan w:val="4"/>
            <w:tcBorders/>
            <w:vAlign w:val="center"/>
          </w:tcPr>
          <w:p>
            <w:pPr>
              <w:pStyle w:val="TableContents"/>
              <w:bidi w:val="0"/>
              <w:spacing w:lineRule="atLeast" w:line="200" w:before="0" w:after="0"/>
              <w:jc w:val="left"/>
              <w:rPr/>
            </w:pPr>
            <w:hyperlink w:anchor="i0d415e0c8fe341d6963f39ad673f7ea6_169">
              <w:r>
                <w:rPr>
                  <w:rStyle w:val="InternetLink"/>
                  <w:rFonts w:ascii="Times New Roman;serif" w:hAnsi="Times New Roman;serif"/>
                  <w:b w:val="false"/>
                  <w:i w:val="false"/>
                  <w:caps w:val="false"/>
                  <w:smallCaps w:val="false"/>
                  <w:color w:val="0000FF"/>
                  <w:sz w:val="20"/>
                  <w:u w:val="single"/>
                </w:rPr>
                <w:t>SIGNATURES</w:t>
              </w:r>
            </w:hyperlink>
          </w:p>
        </w:tc>
        <w:tc>
          <w:tcPr>
            <w:tcW w:w="7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lineRule="atLeast" w:line="200" w:before="0" w:after="0"/>
              <w:jc w:val="left"/>
              <w:rPr/>
            </w:pPr>
            <w:hyperlink w:anchor="i0d415e0c8fe341d6963f39ad673f7ea6_169">
              <w:r>
                <w:rPr>
                  <w:rStyle w:val="InternetLink"/>
                  <w:rFonts w:ascii="Times New Roman;serif" w:hAnsi="Times New Roman;serif"/>
                  <w:b w:val="false"/>
                  <w:i w:val="false"/>
                  <w:caps w:val="false"/>
                  <w:smallCaps w:val="false"/>
                  <w:color w:val="0000FF"/>
                  <w:sz w:val="20"/>
                  <w:u w:val="single"/>
                </w:rPr>
                <w:t>46</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CONSOLIDATED STATEMENTS OF INCOME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 except per share data)</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6940" w:type="dxa"/>
        <w:jc w:val="left"/>
        <w:tblInd w:w="0" w:type="dxa"/>
        <w:tblLayout w:type="fixed"/>
        <w:tblCellMar>
          <w:top w:w="28" w:type="dxa"/>
          <w:left w:w="28" w:type="dxa"/>
          <w:bottom w:w="28" w:type="dxa"/>
          <w:right w:w="28" w:type="dxa"/>
        </w:tblCellMar>
      </w:tblPr>
      <w:tblGrid>
        <w:gridCol w:w="3436"/>
        <w:gridCol w:w="805"/>
        <w:gridCol w:w="129"/>
        <w:gridCol w:w="805"/>
        <w:gridCol w:w="109"/>
        <w:gridCol w:w="676"/>
        <w:gridCol w:w="109"/>
        <w:gridCol w:w="871"/>
      </w:tblGrid>
      <w:tr>
        <w:trPr/>
        <w:tc>
          <w:tcPr>
            <w:tcW w:w="343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65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34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revenue</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$493.2</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$1,185.6</w:t>
            </w:r>
          </w:p>
        </w:tc>
      </w:tr>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expenses:</w:t>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Compensation and related expenses</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263.7</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603.2</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214.7</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56.5</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Interest expense </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34.5</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78.9</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other amortization</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expenses (net)</w:t>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34.6</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consolidated expenses</w:t>
            </w:r>
          </w:p>
        </w:tc>
        <w:tc>
          <w:tcPr>
            <w:tcW w:w="8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412.7</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992.6</w:t>
            </w:r>
          </w:p>
        </w:tc>
      </w:tr>
      <w:tr>
        <w:trPr/>
        <w:tc>
          <w:tcPr>
            <w:tcW w:w="3436"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income (net)</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65.6</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272.2</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transaction gains (Note 8)</w:t>
            </w:r>
          </w:p>
        </w:tc>
        <w:tc>
          <w:tcPr>
            <w:tcW w:w="805"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 and other income</w:t>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Income before income taxes</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171.6</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500.2</w:t>
            </w:r>
          </w:p>
        </w:tc>
      </w:tr>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Income tax expense </w:t>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116.5</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income </w:t>
            </w:r>
          </w:p>
        </w:tc>
        <w:tc>
          <w:tcPr>
            <w:tcW w:w="805"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383.7</w:t>
            </w:r>
          </w:p>
        </w:tc>
      </w:tr>
      <w:tr>
        <w:trPr/>
        <w:tc>
          <w:tcPr>
            <w:tcW w:w="3436"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(non-controlling interests)</w:t>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(87.4)</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$296.3</w:t>
            </w:r>
          </w:p>
        </w:tc>
      </w:tr>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shares outstanding (basic)</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shares outstanding (diluted)</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w:t>
            </w:r>
          </w:p>
        </w:tc>
      </w:tr>
      <w:tr>
        <w:trPr/>
        <w:tc>
          <w:tcPr>
            <w:tcW w:w="3436"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Earnings per share (basic)</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$11.16</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Earnings per share (diluted)</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COMPREHENSIVE INCOME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9454" w:type="dxa"/>
        <w:jc w:val="left"/>
        <w:tblInd w:w="0" w:type="dxa"/>
        <w:tblLayout w:type="fixed"/>
        <w:tblCellMar>
          <w:top w:w="28" w:type="dxa"/>
          <w:left w:w="28" w:type="dxa"/>
          <w:bottom w:w="28" w:type="dxa"/>
          <w:right w:w="28" w:type="dxa"/>
        </w:tblCellMar>
      </w:tblPr>
      <w:tblGrid>
        <w:gridCol w:w="6016"/>
        <w:gridCol w:w="805"/>
        <w:gridCol w:w="129"/>
        <w:gridCol w:w="805"/>
        <w:gridCol w:w="109"/>
        <w:gridCol w:w="714"/>
        <w:gridCol w:w="115"/>
        <w:gridCol w:w="761"/>
      </w:tblGrid>
      <w:tr>
        <w:trPr/>
        <w:tc>
          <w:tcPr>
            <w:tcW w:w="60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60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601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income </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$235.1</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$383.7</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 (loss), net of tax:</w:t>
            </w:r>
          </w:p>
        </w:tc>
        <w:tc>
          <w:tcPr>
            <w:tcW w:w="805"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 gain (loss)</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Change in net realized and unrealized gain (loss) on derivative financial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instruments</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net unrealized gain (loss) on available-for-sale debt securities</w:t>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 (loss), net of tax</w:t>
            </w:r>
          </w:p>
        </w:tc>
        <w:tc>
          <w:tcPr>
            <w:tcW w:w="8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63.7</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58.9</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Comprehensive income </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199.6</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294.0</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356.5</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(non-controlling interests)</w:t>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(64.6)</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(98.8)</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(82.4)</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(controlling interest)</w:t>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$135.0</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$195.2</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$274.1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AFFILIATED MANA</w:t>
      </w:r>
      <w:r>
        <w:rPr>
          <w:rFonts w:ascii="Times New Roman;serif" w:hAnsi="Times New Roman;serif"/>
          <w:b/>
          <w:i w:val="false"/>
          <w:caps w:val="false"/>
          <w:smallCaps w:val="false"/>
          <w:sz w:val="20"/>
        </w:rPr>
        <w:t>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BALANCE SHEETS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 millions)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10042" w:type="dxa"/>
        <w:jc w:val="left"/>
        <w:tblInd w:w="0" w:type="dxa"/>
        <w:tblLayout w:type="fixed"/>
        <w:tblCellMar>
          <w:top w:w="28" w:type="dxa"/>
          <w:left w:w="28" w:type="dxa"/>
          <w:bottom w:w="28" w:type="dxa"/>
          <w:right w:w="28" w:type="dxa"/>
        </w:tblCellMar>
      </w:tblPr>
      <w:tblGrid>
        <w:gridCol w:w="7951"/>
        <w:gridCol w:w="1096"/>
        <w:gridCol w:w="109"/>
        <w:gridCol w:w="886"/>
      </w:tblGrid>
      <w:tr>
        <w:trPr/>
        <w:tc>
          <w:tcPr>
            <w:tcW w:w="79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7951"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$411.0</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Receivables</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846.9</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757.9</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Goodwill</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2,511.6</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client relationships (net)</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1,577.6</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investments in Affiliates (net)</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2,936.8</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Fixed assets (net)</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53.4</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308.3</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$9,207.4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$9,403.5</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 and Equity</w:t>
            </w:r>
          </w:p>
        </w:tc>
        <w:tc>
          <w:tcPr>
            <w:tcW w:w="109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Payables and accrued liabilities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$1,015.9</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3,004.0</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Deferred tax liability (net)</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486.8</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liabilities</w:t>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692.9</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9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5,199.6</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Commitments and contingencies (Note 7)</w:t>
            </w:r>
          </w:p>
        </w:tc>
        <w:tc>
          <w:tcPr>
            <w:tcW w:w="10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Redeemable non-controlling interests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270.2</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w:t>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r>
      <w:tr>
        <w:trPr/>
        <w:tc>
          <w:tcPr>
            <w:tcW w:w="795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Common stock (</w:t>
            </w:r>
            <w:r>
              <w:rPr>
                <w:rFonts w:ascii="Times New Roman;serif" w:hAnsi="Times New Roman;serif"/>
                <w:b w:val="false"/>
                <w:i w:val="false"/>
                <w:caps w:val="false"/>
                <w:smallCaps w:val="false"/>
                <w:strike w:val="false"/>
                <w:dstrike w:val="false"/>
                <w:sz w:val="20"/>
                <w:u w:val="none"/>
                <w:effect w:val="none"/>
              </w:rPr>
              <w:t>$0.01</w:t>
            </w:r>
            <w:r>
              <w:rPr>
                <w:caps w:val="false"/>
                <w:smallCaps w:val="false"/>
                <w:sz w:val="24"/>
              </w:rPr>
              <w:t xml:space="preserve"> </w:t>
            </w:r>
            <w:r>
              <w:rPr>
                <w:rFonts w:ascii="Times New Roman;serif" w:hAnsi="Times New Roman;serif"/>
                <w:b w:val="false"/>
                <w:i w:val="false"/>
                <w:caps w:val="false"/>
                <w:smallCaps w:val="false"/>
                <w:sz w:val="20"/>
              </w:rPr>
              <w:t xml:space="preserve">par value, </w:t>
            </w:r>
            <w:r>
              <w:rPr>
                <w:rFonts w:ascii="Times New Roman;serif" w:hAnsi="Times New Roman;serif"/>
                <w:b w:val="false"/>
                <w:i w:val="false"/>
                <w:caps w:val="false"/>
                <w:smallCaps w:val="false"/>
                <w:strike w:val="false"/>
                <w:dstrike w:val="false"/>
                <w:sz w:val="20"/>
                <w:u w:val="none"/>
                <w:effect w:val="none"/>
              </w:rPr>
              <w:t>153.0</w:t>
            </w:r>
            <w:r>
              <w:rPr>
                <w:caps w:val="false"/>
                <w:smallCaps w:val="false"/>
                <w:sz w:val="24"/>
              </w:rPr>
              <w:t xml:space="preserve"> </w:t>
            </w:r>
            <w:r>
              <w:rPr>
                <w:rFonts w:ascii="Times New Roman;serif" w:hAnsi="Times New Roman;serif"/>
                <w:b w:val="false"/>
                <w:i w:val="false"/>
                <w:caps w:val="false"/>
                <w:smallCaps w:val="false"/>
                <w:sz w:val="20"/>
              </w:rPr>
              <w:t xml:space="preserve">shares authorized; </w:t>
            </w:r>
            <w:r>
              <w:rPr>
                <w:rFonts w:ascii="Times New Roman;serif" w:hAnsi="Times New Roman;serif"/>
                <w:b w:val="false"/>
                <w:i w:val="false"/>
                <w:caps w:val="false"/>
                <w:smallCaps w:val="false"/>
                <w:strike w:val="false"/>
                <w:dstrike w:val="false"/>
                <w:sz w:val="20"/>
                <w:u w:val="none"/>
                <w:effect w:val="none"/>
              </w:rPr>
              <w:t>58.5</w:t>
            </w:r>
            <w:r>
              <w:rPr>
                <w:caps w:val="false"/>
                <w:smallCaps w:val="false"/>
                <w:sz w:val="24"/>
              </w:rPr>
              <w:t xml:space="preserve"> </w:t>
            </w:r>
            <w:r>
              <w:rPr>
                <w:rFonts w:ascii="Times New Roman;serif" w:hAnsi="Times New Roman;serif"/>
                <w:b w:val="false"/>
                <w:i w:val="false"/>
                <w:caps w:val="false"/>
                <w:smallCaps w:val="false"/>
                <w:sz w:val="20"/>
              </w:rPr>
              <w:t xml:space="preserve">shares issued as of </w:t>
            </w:r>
            <w:r>
              <w:rPr>
                <w:rFonts w:ascii="Times New Roman;serif" w:hAnsi="Times New Roman;serif"/>
                <w:b w:val="false"/>
                <w:i w:val="false"/>
                <w:caps w:val="false"/>
                <w:smallCaps w:val="false"/>
                <w:strike w:val="false"/>
                <w:dstrike w:val="false"/>
                <w:sz w:val="20"/>
                <w:u w:val="none"/>
                <w:effect w:val="none"/>
              </w:rPr>
              <w:t xml:space="preserve">December 31,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Additional paid-in capital</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530.2</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Accumulated other comprehensive loss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(129.0)</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Retained earnings</w:t>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7,911.2</w:t>
            </w:r>
          </w:p>
        </w:tc>
      </w:tr>
      <w:tr>
        <w:trPr/>
        <w:tc>
          <w:tcPr>
            <w:tcW w:w="7951"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8,125.3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8,313.0</w:t>
            </w:r>
          </w:p>
        </w:tc>
      </w:tr>
      <w:tr>
        <w:trPr/>
        <w:tc>
          <w:tcPr>
            <w:tcW w:w="795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Less: Treasury stock, at cost (</w:t>
            </w:r>
            <w:r>
              <w:rPr>
                <w:rFonts w:ascii="Times New Roman;serif" w:hAnsi="Times New Roman;serif"/>
                <w:b w:val="false"/>
                <w:i w:val="false"/>
                <w:caps w:val="false"/>
                <w:smallCaps w:val="false"/>
                <w:strike w:val="false"/>
                <w:dstrike w:val="false"/>
                <w:sz w:val="20"/>
                <w:u w:val="none"/>
                <w:effect w:val="none"/>
              </w:rPr>
              <w:t>31.5</w:t>
            </w:r>
            <w:r>
              <w:rPr>
                <w:caps w:val="false"/>
                <w:smallCaps w:val="false"/>
                <w:sz w:val="24"/>
              </w:rPr>
              <w:t xml:space="preserve"> </w:t>
            </w:r>
            <w:r>
              <w:rPr>
                <w:rFonts w:ascii="Times New Roman;serif" w:hAnsi="Times New Roman;serif"/>
                <w:b w:val="false"/>
                <w:i w:val="false"/>
                <w:caps w:val="false"/>
                <w:smallCaps w:val="false"/>
                <w:sz w:val="20"/>
              </w:rPr>
              <w:t xml:space="preserve">shares and </w:t>
            </w:r>
            <w:r>
              <w:rPr>
                <w:rFonts w:ascii="Times New Roman;serif" w:hAnsi="Times New Roman;serif"/>
                <w:b w:val="false"/>
                <w:i w:val="false"/>
                <w:caps w:val="false"/>
                <w:smallCaps w:val="false"/>
                <w:strike w:val="false"/>
                <w:dstrike w:val="false"/>
                <w:sz w:val="20"/>
                <w:u w:val="none"/>
                <w:effect w:val="none"/>
              </w:rPr>
              <w:t>32.5</w:t>
            </w:r>
            <w:r>
              <w:rPr>
                <w:caps w:val="false"/>
                <w:smallCaps w:val="false"/>
                <w:sz w:val="24"/>
              </w:rPr>
              <w:t xml:space="preserve"> </w:t>
            </w:r>
            <w:r>
              <w:rPr>
                <w:rFonts w:ascii="Times New Roman;serif" w:hAnsi="Times New Roman;serif"/>
                <w:b w:val="false"/>
                <w:i w:val="false"/>
                <w:caps w:val="false"/>
                <w:smallCaps w:val="false"/>
                <w:sz w:val="20"/>
              </w:rPr>
              <w:t xml:space="preserve">shares as of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 xml:space="preserve">June 30,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respectively)</w:t>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(5,275.0)</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stockholders' equity</w:t>
            </w:r>
          </w:p>
        </w:tc>
        <w:tc>
          <w:tcPr>
            <w:tcW w:w="109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3,038.0</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Non-controlling interests</w:t>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895.7</w:t>
            </w:r>
          </w:p>
        </w:tc>
      </w:tr>
      <w:tr>
        <w:trPr/>
        <w:tc>
          <w:tcPr>
            <w:tcW w:w="79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equity</w:t>
            </w:r>
          </w:p>
        </w:tc>
        <w:tc>
          <w:tcPr>
            <w:tcW w:w="10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4,175.3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3,933.7</w:t>
            </w:r>
          </w:p>
        </w:tc>
      </w:tr>
      <w:tr>
        <w:trPr/>
        <w:tc>
          <w:tcPr>
            <w:tcW w:w="79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 and equity</w:t>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$9,403.5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CHANGES IN EQUITY</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 except dividends per share)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10205" w:type="dxa"/>
        <w:jc w:val="left"/>
        <w:tblInd w:w="0" w:type="dxa"/>
        <w:tblLayout w:type="fixed"/>
        <w:tblCellMar>
          <w:top w:w="28" w:type="dxa"/>
          <w:left w:w="28" w:type="dxa"/>
          <w:bottom w:w="28" w:type="dxa"/>
          <w:right w:w="28" w:type="dxa"/>
        </w:tblCellMar>
      </w:tblPr>
      <w:tblGrid>
        <w:gridCol w:w="3308"/>
        <w:gridCol w:w="109"/>
        <w:gridCol w:w="766"/>
        <w:gridCol w:w="109"/>
        <w:gridCol w:w="871"/>
        <w:gridCol w:w="109"/>
        <w:gridCol w:w="1216"/>
        <w:gridCol w:w="109"/>
        <w:gridCol w:w="751"/>
        <w:gridCol w:w="109"/>
        <w:gridCol w:w="847"/>
        <w:gridCol w:w="109"/>
        <w:gridCol w:w="901"/>
        <w:gridCol w:w="109"/>
        <w:gridCol w:w="782"/>
      </w:tblGrid>
      <w:tr>
        <w:trPr/>
        <w:tc>
          <w:tcPr>
            <w:tcW w:w="3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308" w:type="dxa"/>
            <w:tcBorders/>
            <w:vAlign w:val="center"/>
          </w:tcPr>
          <w:p>
            <w:pPr>
              <w:pStyle w:val="TableContents"/>
              <w:bidi w:val="0"/>
              <w:spacing w:lineRule="atLeast" w:line="160" w:before="0" w:after="0"/>
              <w:jc w:val="left"/>
              <w:rPr>
                <w:rFonts w:ascii="Times New Roman;serif" w:hAnsi="Times New Roman;serif"/>
                <w:b/>
                <w:i/>
                <w:strike w:val="false"/>
                <w:dstrike w:val="false"/>
                <w:color w:val="000000"/>
                <w:sz w:val="16"/>
                <w:u w:val="none"/>
                <w:effect w:val="none"/>
              </w:rPr>
            </w:pPr>
            <w:r>
              <w:rPr>
                <w:rFonts w:ascii="Times New Roman;serif" w:hAnsi="Times New Roman;serif"/>
                <w:b/>
                <w:i/>
                <w:strike w:val="false"/>
                <w:dstrike w:val="false"/>
                <w:color w:val="000000"/>
                <w:sz w:val="16"/>
                <w:u w:val="none"/>
                <w:effect w:val="none"/>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4887"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30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at</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controlling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$6,971.9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$4,099.0</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income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135.9</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income,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63.7</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Share-based compensation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Common stock issued under share-based incentive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plans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 repurchases, inclusive of excise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(100.8)</w:t>
            </w:r>
          </w:p>
        </w:tc>
      </w:tr>
      <w:tr>
        <w:trPr/>
        <w:tc>
          <w:tcPr>
            <w:tcW w:w="3308"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Dividends (</w:t>
            </w:r>
            <w:r>
              <w:rPr>
                <w:rFonts w:ascii="Times New Roman;serif" w:hAnsi="Times New Roman;serif"/>
                <w:b w:val="false"/>
                <w:i w:val="false"/>
                <w:caps w:val="false"/>
                <w:smallCaps w:val="false"/>
                <w:strike w:val="false"/>
                <w:dstrike w:val="false"/>
                <w:sz w:val="16"/>
                <w:u w:val="none"/>
                <w:effect w:val="none"/>
              </w:rPr>
              <w:t>$0.01</w:t>
            </w:r>
            <w:r>
              <w:rPr>
                <w:caps w:val="false"/>
                <w:smallCaps w:val="false"/>
                <w:sz w:val="24"/>
              </w:rPr>
              <w:t xml:space="preserve"> </w:t>
            </w:r>
            <w:r>
              <w:rPr>
                <w:rFonts w:ascii="Times New Roman;serif" w:hAnsi="Times New Roman;serif"/>
                <w:b w:val="false"/>
                <w:i w:val="false"/>
                <w:caps w:val="false"/>
                <w:smallCaps w:val="false"/>
                <w:sz w:val="16"/>
              </w:rPr>
              <w:t>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(0.3)</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equity-related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(26.7)</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redemption value of Redeemable non-</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(26.0)</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Transfers to Redeemable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Capital contributions and 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(62.7)</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$7,055.9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$(4,394.0)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$4,138.7</w:t>
            </w:r>
          </w:p>
        </w:tc>
      </w:tr>
    </w:tbl>
    <w:tbl>
      <w:tblPr>
        <w:tblW w:w="10205" w:type="dxa"/>
        <w:jc w:val="left"/>
        <w:tblInd w:w="0" w:type="dxa"/>
        <w:tblLayout w:type="fixed"/>
        <w:tblCellMar>
          <w:top w:w="28" w:type="dxa"/>
          <w:left w:w="28" w:type="dxa"/>
          <w:bottom w:w="28" w:type="dxa"/>
          <w:right w:w="28" w:type="dxa"/>
        </w:tblCellMar>
      </w:tblPr>
      <w:tblGrid>
        <w:gridCol w:w="3308"/>
        <w:gridCol w:w="109"/>
        <w:gridCol w:w="766"/>
        <w:gridCol w:w="109"/>
        <w:gridCol w:w="871"/>
        <w:gridCol w:w="109"/>
        <w:gridCol w:w="1216"/>
        <w:gridCol w:w="109"/>
        <w:gridCol w:w="751"/>
        <w:gridCol w:w="109"/>
        <w:gridCol w:w="847"/>
        <w:gridCol w:w="109"/>
        <w:gridCol w:w="901"/>
        <w:gridCol w:w="109"/>
        <w:gridCol w:w="782"/>
      </w:tblGrid>
      <w:tr>
        <w:trPr/>
        <w:tc>
          <w:tcPr>
            <w:tcW w:w="3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308" w:type="dxa"/>
            <w:tcBorders/>
            <w:vAlign w:val="center"/>
          </w:tcPr>
          <w:p>
            <w:pPr>
              <w:pStyle w:val="TableContents"/>
              <w:bidi w:val="0"/>
              <w:spacing w:lineRule="atLeast" w:line="160" w:before="0" w:after="0"/>
              <w:jc w:val="left"/>
              <w:rPr>
                <w:rFonts w:ascii="Times New Roman;serif" w:hAnsi="Times New Roman;serif"/>
                <w:b/>
                <w:i/>
                <w:strike w:val="false"/>
                <w:dstrike w:val="false"/>
                <w:color w:val="000000"/>
                <w:sz w:val="16"/>
                <w:u w:val="none"/>
                <w:effect w:val="none"/>
              </w:rPr>
            </w:pPr>
            <w:r>
              <w:rPr>
                <w:rFonts w:ascii="Times New Roman;serif" w:hAnsi="Times New Roman;serif"/>
                <w:b/>
                <w:i/>
                <w:strike w:val="false"/>
                <w:dstrike w:val="false"/>
                <w:color w:val="000000"/>
                <w:sz w:val="16"/>
                <w:u w:val="none"/>
                <w:effect w:val="none"/>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4887"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30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at</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controlling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March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$7,725.5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$(5,073.3)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$3,983.9</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income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237.4</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loss,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(11.8)</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Share-based compensation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Common stock issued under share-based incentive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plans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(11.1)</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 repurchases, inclusive of excise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(191.0)</w:t>
            </w:r>
          </w:p>
        </w:tc>
      </w:tr>
      <w:tr>
        <w:trPr/>
        <w:tc>
          <w:tcPr>
            <w:tcW w:w="3308"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Dividends (</w:t>
            </w:r>
            <w:r>
              <w:rPr>
                <w:rFonts w:ascii="Times New Roman;serif" w:hAnsi="Times New Roman;serif"/>
                <w:b w:val="false"/>
                <w:i w:val="false"/>
                <w:caps w:val="false"/>
                <w:smallCaps w:val="false"/>
                <w:strike w:val="false"/>
                <w:dstrike w:val="false"/>
                <w:sz w:val="16"/>
                <w:u w:val="none"/>
                <w:effect w:val="none"/>
              </w:rPr>
              <w:t>$0.01</w:t>
            </w:r>
            <w:r>
              <w:rPr>
                <w:caps w:val="false"/>
                <w:smallCaps w:val="false"/>
                <w:sz w:val="24"/>
              </w:rPr>
              <w:t xml:space="preserve"> </w:t>
            </w:r>
            <w:r>
              <w:rPr>
                <w:rFonts w:ascii="Times New Roman;serif" w:hAnsi="Times New Roman;serif"/>
                <w:b w:val="false"/>
                <w:i w:val="false"/>
                <w:caps w:val="false"/>
                <w:smallCaps w:val="false"/>
                <w:sz w:val="16"/>
              </w:rPr>
              <w:t>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(0.2)</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equity-related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13.4</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(9.1)</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redemption value of Redeemable non-</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(23.9)</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Capital contributions and 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(62.2)</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$7,911.2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$(5,275.0)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$3,933.7</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CHANGES IN EQUITY</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 except dividends per share)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10205" w:type="dxa"/>
        <w:jc w:val="left"/>
        <w:tblInd w:w="0" w:type="dxa"/>
        <w:tblLayout w:type="fixed"/>
        <w:tblCellMar>
          <w:top w:w="28" w:type="dxa"/>
          <w:left w:w="28" w:type="dxa"/>
          <w:bottom w:w="28" w:type="dxa"/>
          <w:right w:w="28" w:type="dxa"/>
        </w:tblCellMar>
      </w:tblPr>
      <w:tblGrid>
        <w:gridCol w:w="3308"/>
        <w:gridCol w:w="109"/>
        <w:gridCol w:w="766"/>
        <w:gridCol w:w="109"/>
        <w:gridCol w:w="871"/>
        <w:gridCol w:w="109"/>
        <w:gridCol w:w="1216"/>
        <w:gridCol w:w="109"/>
        <w:gridCol w:w="751"/>
        <w:gridCol w:w="109"/>
        <w:gridCol w:w="847"/>
        <w:gridCol w:w="109"/>
        <w:gridCol w:w="901"/>
        <w:gridCol w:w="109"/>
        <w:gridCol w:w="782"/>
      </w:tblGrid>
      <w:tr>
        <w:trPr/>
        <w:tc>
          <w:tcPr>
            <w:tcW w:w="3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308" w:type="dxa"/>
            <w:tcBorders/>
            <w:vAlign w:val="center"/>
          </w:tcPr>
          <w:p>
            <w:pPr>
              <w:pStyle w:val="TableContents"/>
              <w:bidi w:val="0"/>
              <w:spacing w:lineRule="atLeast" w:line="160" w:before="0" w:after="0"/>
              <w:jc w:val="left"/>
              <w:rPr>
                <w:rFonts w:ascii="Times New Roman;serif" w:hAnsi="Times New Roman;serif"/>
                <w:b/>
                <w:i/>
                <w:strike w:val="false"/>
                <w:dstrike w:val="false"/>
                <w:color w:val="000000"/>
                <w:sz w:val="16"/>
                <w:u w:val="none"/>
                <w:effect w:val="none"/>
              </w:rPr>
            </w:pPr>
            <w:r>
              <w:rPr>
                <w:rFonts w:ascii="Times New Roman;serif" w:hAnsi="Times New Roman;serif"/>
                <w:b/>
                <w:i/>
                <w:strike w:val="false"/>
                <w:dstrike w:val="false"/>
                <w:color w:val="000000"/>
                <w:sz w:val="16"/>
                <w:u w:val="none"/>
                <w:effect w:val="none"/>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4887"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308"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at</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controlling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$4,298.2</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income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235.1</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income, net of tax</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58.9</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Share-based compensation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21.7</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Common stock issued under share-based incentive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plans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(41.2)</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 repurchases, inclusive of excise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(275.2)</w:t>
            </w:r>
          </w:p>
        </w:tc>
      </w:tr>
      <w:tr>
        <w:trPr/>
        <w:tc>
          <w:tcPr>
            <w:tcW w:w="3308"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Dividends (</w:t>
            </w:r>
            <w:r>
              <w:rPr>
                <w:rFonts w:ascii="Times New Roman;serif" w:hAnsi="Times New Roman;serif"/>
                <w:b w:val="false"/>
                <w:i w:val="false"/>
                <w:caps w:val="false"/>
                <w:smallCaps w:val="false"/>
                <w:strike w:val="false"/>
                <w:dstrike w:val="false"/>
                <w:sz w:val="16"/>
                <w:u w:val="none"/>
                <w:effect w:val="none"/>
              </w:rPr>
              <w:t>$0.02</w:t>
            </w:r>
            <w:r>
              <w:rPr>
                <w:caps w:val="false"/>
                <w:smallCaps w:val="false"/>
                <w:sz w:val="24"/>
              </w:rPr>
              <w:t xml:space="preserve"> </w:t>
            </w:r>
            <w:r>
              <w:rPr>
                <w:rFonts w:ascii="Times New Roman;serif" w:hAnsi="Times New Roman;serif"/>
                <w:b w:val="false"/>
                <w:i w:val="false"/>
                <w:caps w:val="false"/>
                <w:smallCaps w:val="false"/>
                <w:sz w:val="16"/>
              </w:rPr>
              <w:t>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equity-related activity: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22.3</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(38.6)</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redemption value of Redeemable non-</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(44.2)</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Transfers from Redeemable non-controlling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Capital contributions and other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w:t>
            </w:r>
          </w:p>
        </w:tc>
      </w:tr>
      <w:tr>
        <w:trPr/>
        <w:tc>
          <w:tcPr>
            <w:tcW w:w="33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7"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(149.7)</w:t>
            </w:r>
          </w:p>
        </w:tc>
      </w:tr>
      <w:tr>
        <w:trPr/>
        <w:tc>
          <w:tcPr>
            <w:tcW w:w="3308"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$7,055.9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$(4,394.0)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$4,138.7</w:t>
            </w:r>
          </w:p>
        </w:tc>
      </w:tr>
    </w:tbl>
    <w:tbl>
      <w:tblPr>
        <w:tblW w:w="10205" w:type="dxa"/>
        <w:jc w:val="left"/>
        <w:tblInd w:w="0" w:type="dxa"/>
        <w:tblLayout w:type="fixed"/>
        <w:tblCellMar>
          <w:top w:w="28" w:type="dxa"/>
          <w:left w:w="28" w:type="dxa"/>
          <w:bottom w:w="28" w:type="dxa"/>
          <w:right w:w="28" w:type="dxa"/>
        </w:tblCellMar>
      </w:tblPr>
      <w:tblGrid>
        <w:gridCol w:w="3310"/>
        <w:gridCol w:w="109"/>
        <w:gridCol w:w="766"/>
        <w:gridCol w:w="109"/>
        <w:gridCol w:w="871"/>
        <w:gridCol w:w="109"/>
        <w:gridCol w:w="1216"/>
        <w:gridCol w:w="109"/>
        <w:gridCol w:w="751"/>
        <w:gridCol w:w="109"/>
        <w:gridCol w:w="845"/>
        <w:gridCol w:w="109"/>
        <w:gridCol w:w="901"/>
        <w:gridCol w:w="109"/>
        <w:gridCol w:w="782"/>
      </w:tblGrid>
      <w:tr>
        <w:trPr/>
        <w:tc>
          <w:tcPr>
            <w:tcW w:w="3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310" w:type="dxa"/>
            <w:tcBorders/>
            <w:vAlign w:val="center"/>
          </w:tcPr>
          <w:p>
            <w:pPr>
              <w:pStyle w:val="TableContents"/>
              <w:bidi w:val="0"/>
              <w:spacing w:lineRule="atLeast" w:line="160" w:before="0" w:after="0"/>
              <w:jc w:val="left"/>
              <w:rPr>
                <w:rFonts w:ascii="Times New Roman;serif" w:hAnsi="Times New Roman;serif"/>
                <w:b/>
                <w:i/>
                <w:strike w:val="false"/>
                <w:dstrike w:val="false"/>
                <w:color w:val="000000"/>
                <w:sz w:val="16"/>
                <w:u w:val="none"/>
                <w:effect w:val="none"/>
              </w:rPr>
            </w:pPr>
            <w:r>
              <w:rPr>
                <w:rFonts w:ascii="Times New Roman;serif" w:hAnsi="Times New Roman;serif"/>
                <w:b/>
                <w:i/>
                <w:strike w:val="false"/>
                <w:dstrike w:val="false"/>
                <w:color w:val="000000"/>
                <w:sz w:val="16"/>
                <w:u w:val="none"/>
                <w:effect w:val="none"/>
              </w:rPr>
              <w:t>Six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4885"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at</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controlling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$(4,886.9)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$936.9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$4,175.3</w:t>
            </w:r>
          </w:p>
        </w:tc>
      </w:tr>
      <w:tr>
        <w:trPr/>
        <w:tc>
          <w:tcPr>
            <w:tcW w:w="33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income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383.7</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comprehensive loss, net of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(27.2)</w:t>
            </w:r>
          </w:p>
        </w:tc>
      </w:tr>
      <w:tr>
        <w:trPr/>
        <w:tc>
          <w:tcPr>
            <w:tcW w:w="33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Share-based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Common stock issued under share-based incentive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plans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(45.8)</w:t>
            </w:r>
          </w:p>
        </w:tc>
      </w:tr>
      <w:tr>
        <w:trPr/>
        <w:tc>
          <w:tcPr>
            <w:tcW w:w="33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Conversion premium on junior convertible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 repurchases, inclusive of excise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(378.1)</w:t>
            </w:r>
          </w:p>
        </w:tc>
      </w:tr>
      <w:tr>
        <w:trPr/>
        <w:tc>
          <w:tcPr>
            <w:tcW w:w="3310"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Dividends (</w:t>
            </w:r>
            <w:r>
              <w:rPr>
                <w:rFonts w:ascii="Times New Roman;serif" w:hAnsi="Times New Roman;serif"/>
                <w:b w:val="false"/>
                <w:i w:val="false"/>
                <w:caps w:val="false"/>
                <w:smallCaps w:val="false"/>
                <w:strike w:val="false"/>
                <w:dstrike w:val="false"/>
                <w:sz w:val="16"/>
                <w:u w:val="none"/>
                <w:effect w:val="none"/>
              </w:rPr>
              <w:t>$0.02</w:t>
            </w:r>
            <w:r>
              <w:rPr>
                <w:caps w:val="false"/>
                <w:smallCaps w:val="false"/>
                <w:sz w:val="24"/>
              </w:rPr>
              <w:t xml:space="preserve"> </w:t>
            </w:r>
            <w:r>
              <w:rPr>
                <w:rFonts w:ascii="Times New Roman;serif" w:hAnsi="Times New Roman;serif"/>
                <w:b w:val="false"/>
                <w:i w:val="false"/>
                <w:caps w:val="false"/>
                <w:smallCaps w:val="false"/>
                <w:sz w:val="16"/>
              </w:rPr>
              <w:t>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equity-related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23.7</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w:t>
            </w:r>
          </w:p>
        </w:tc>
      </w:tr>
      <w:tr>
        <w:trPr/>
        <w:tc>
          <w:tcPr>
            <w:tcW w:w="33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(19.6)</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redemption value of Redeemable non-</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(48.6)</w:t>
            </w:r>
          </w:p>
        </w:tc>
      </w:tr>
      <w:tr>
        <w:trPr/>
        <w:tc>
          <w:tcPr>
            <w:tcW w:w="33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Capital contributions and 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(146.3)</w:t>
            </w:r>
          </w:p>
        </w:tc>
      </w:tr>
      <w:tr>
        <w:trPr/>
        <w:tc>
          <w:tcPr>
            <w:tcW w:w="331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r>
      <w:tr>
        <w:trPr/>
        <w:tc>
          <w:tcPr>
            <w:tcW w:w="3310"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$7,911.2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$(5,275.0)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$3,933.7</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CASH FLOWS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(unaudited)</w:t>
      </w:r>
    </w:p>
    <w:tbl>
      <w:tblPr>
        <w:tblW w:w="7590" w:type="dxa"/>
        <w:jc w:val="left"/>
        <w:tblInd w:w="0" w:type="dxa"/>
        <w:tblLayout w:type="fixed"/>
        <w:tblCellMar>
          <w:top w:w="28" w:type="dxa"/>
          <w:left w:w="28" w:type="dxa"/>
          <w:bottom w:w="28" w:type="dxa"/>
          <w:right w:w="28" w:type="dxa"/>
        </w:tblCellMar>
      </w:tblPr>
      <w:tblGrid>
        <w:gridCol w:w="6001"/>
        <w:gridCol w:w="708"/>
        <w:gridCol w:w="122"/>
        <w:gridCol w:w="759"/>
      </w:tblGrid>
      <w:tr>
        <w:trPr/>
        <w:tc>
          <w:tcPr>
            <w:tcW w:w="60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60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60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 from (used in) operating activities:</w:t>
            </w:r>
          </w:p>
        </w:tc>
        <w:tc>
          <w:tcPr>
            <w:tcW w:w="708"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Net income </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$235.1</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$383.7</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Adjustments to reconcile Net income to cash flow from (used in) operating activities:</w:t>
            </w:r>
          </w:p>
        </w:tc>
        <w:tc>
          <w:tcPr>
            <w:tcW w:w="708"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Intangible amortization and impairments</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89.6</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56.5</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Depreciation and other amortization</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Deferred income tax expense (benefit)</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26.8</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(32.6)</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Equity method income (net)</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(140.9)</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(272.2)</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Distributions received from equity method investments</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295.9</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464.5</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transaction gains</w:t>
            </w:r>
          </w:p>
        </w:tc>
        <w:tc>
          <w:tcPr>
            <w:tcW w:w="70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Share-based compensation and Affiliate equity expense</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92.3</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83.8</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realized and unrealized gains on investment securities</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(20.5)</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(14.0)</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non-cash items</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9.2</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assets and liabilities:</w:t>
            </w:r>
          </w:p>
        </w:tc>
        <w:tc>
          <w:tcPr>
            <w:tcW w:w="708"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 of securities by consolidated Affiliate-sponsored investment products</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(35.1)</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(64.6)</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Sales of securities by consolidated Affiliate-sponsored investment products</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30.5</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47.7</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 in receivables</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(126.9)</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(355.9)</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 decrease in other assets</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9.8</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Increase in payables, accrued liabilities, and other liabilities</w:t>
            </w:r>
          </w:p>
        </w:tc>
        <w:tc>
          <w:tcPr>
            <w:tcW w:w="708"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232.3</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 from operating activities</w:t>
            </w:r>
          </w:p>
        </w:tc>
        <w:tc>
          <w:tcPr>
            <w:tcW w:w="70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439.7</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538.3</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 from (used in) investing activities:</w:t>
            </w:r>
          </w:p>
        </w:tc>
        <w:tc>
          <w:tcPr>
            <w:tcW w:w="70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Investments in Affiliates</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(510.1)</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(242.3)</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Proceeds from Affiliate transactions</w:t>
            </w:r>
          </w:p>
        </w:tc>
        <w:tc>
          <w:tcPr>
            <w:tcW w:w="708"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36.2</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Return of capital from equity method investments in Affiliates</w:t>
            </w:r>
          </w:p>
        </w:tc>
        <w:tc>
          <w:tcPr>
            <w:tcW w:w="70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 of fixed assets</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Purchases of investment securities</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(56.4)</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(69.1)</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Maturities and sales of investment securities</w:t>
            </w:r>
          </w:p>
        </w:tc>
        <w:tc>
          <w:tcPr>
            <w:tcW w:w="708"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40.2</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57.2</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 used in investing activities</w:t>
            </w:r>
          </w:p>
        </w:tc>
        <w:tc>
          <w:tcPr>
            <w:tcW w:w="70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(529.3)</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(219.3)</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 from (used in) financing activities:</w:t>
            </w:r>
          </w:p>
        </w:tc>
        <w:tc>
          <w:tcPr>
            <w:tcW w:w="708"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Borrowings of senior bank debt</w:t>
            </w:r>
          </w:p>
        </w:tc>
        <w:tc>
          <w:tcPr>
            <w:tcW w:w="70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820.0</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Repayments of senior bank debt</w:t>
            </w:r>
          </w:p>
        </w:tc>
        <w:tc>
          <w:tcPr>
            <w:tcW w:w="708"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(170.0)</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Repayments of junior convertible securities</w:t>
            </w:r>
          </w:p>
        </w:tc>
        <w:tc>
          <w:tcPr>
            <w:tcW w:w="708"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(340.6)</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Conversion payments on junior convertible securities</w:t>
            </w:r>
          </w:p>
        </w:tc>
        <w:tc>
          <w:tcPr>
            <w:tcW w:w="708"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(174.0)</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 net</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(277.5)</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(364.8)</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(149.7)</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(146.3)</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 purchases, net</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(41.1)</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(56.7)</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financing items</w:t>
            </w:r>
          </w:p>
        </w:tc>
        <w:tc>
          <w:tcPr>
            <w:tcW w:w="708"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(50.1)</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(56.6)</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 used in financing activities</w:t>
            </w:r>
          </w:p>
        </w:tc>
        <w:tc>
          <w:tcPr>
            <w:tcW w:w="708"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(518.4)</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(489.0)</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foreign currency exchange rate changes on cash and cash equivalents</w:t>
            </w:r>
          </w:p>
        </w:tc>
        <w:tc>
          <w:tcPr>
            <w:tcW w:w="708"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Net decrease in cash and cash equivalents</w:t>
            </w:r>
          </w:p>
        </w:tc>
        <w:tc>
          <w:tcPr>
            <w:tcW w:w="708"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(595.0)</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(172.8)</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and cash equivalents at beginning of period</w:t>
            </w:r>
          </w:p>
        </w:tc>
        <w:tc>
          <w:tcPr>
            <w:tcW w:w="708"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950.0</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586.0</w:t>
            </w:r>
          </w:p>
        </w:tc>
      </w:tr>
      <w:tr>
        <w:trPr/>
        <w:tc>
          <w:tcPr>
            <w:tcW w:w="60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Effect of consolidation (deconsolidation) of Affiliate-sponsored investment products</w:t>
            </w:r>
          </w:p>
        </w:tc>
        <w:tc>
          <w:tcPr>
            <w:tcW w:w="708"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75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w:t>
            </w:r>
          </w:p>
        </w:tc>
      </w:tr>
      <w:tr>
        <w:trPr/>
        <w:tc>
          <w:tcPr>
            <w:tcW w:w="6001"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and cash equivalents at end of period</w:t>
            </w:r>
          </w:p>
        </w:tc>
        <w:tc>
          <w:tcPr>
            <w:tcW w:w="70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$361.0</w:t>
            </w:r>
          </w:p>
        </w:tc>
        <w:tc>
          <w:tcPr>
            <w:tcW w:w="122"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$411.0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w:t>
      </w:r>
      <w:r>
        <w:rPr>
          <w:rFonts w:ascii="Times New Roman;serif" w:hAnsi="Times New Roman;serif"/>
          <w:b/>
          <w:i w:val="false"/>
          <w:caps w:val="false"/>
          <w:smallCaps w:val="false"/>
          <w:strike w:val="false"/>
          <w:dstrike w:val="false"/>
          <w:sz w:val="20"/>
          <w:u w:val="none"/>
          <w:effect w:val="none"/>
        </w:rPr>
        <w:t>Basis of Presentation and Use of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Consolidated Financial Statements of Affiliated Managers Group, Inc. (“AMG” or the “Company”) have been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prepared in accordance with accounting principles generally accepted in the U.S. (“GAAP”) for interim financial information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with the instructions to Form 10-Q and Rule 10-01 of Regulation S-X.  Accordingly, they do not include all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information and footnotes required by GAAP for full year financial statements.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opinion of management, all normal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recurring adjustments considered necessary for a fair statement of the Company’s interim financial position and results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have been included and all intercompany balances and transactions have been eliminated. Certain reclassifications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have been made to the prior period’s financial statements to conform to the current period’s presentation.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Operating results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interim periods are not necessarily indicative of the results that may be expected for any other period or for the full year.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Annual Report on Form 10-K for the fiscal year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includes additional information about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operations, financial position, and accounting policies, and should be read in conjunction with this Quarterly Report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Form 10-Q.</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preparation of financial statements in conformity with GAAP requires management to make estimates and assumptions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that affect the reported amounts and disclosures in the financial statements.  Actual results could differ from those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All dollar amounts, except per share, per unit, and per option data in the text and tables herein, are stated in millions unless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2.</w:t>
      </w:r>
      <w:r>
        <w:rPr>
          <w:rFonts w:ascii="Times New Roman;serif" w:hAnsi="Times New Roman;serif"/>
          <w:b/>
          <w:i w:val="false"/>
          <w:caps w:val="false"/>
          <w:smallCaps w:val="false"/>
          <w:strike w:val="false"/>
          <w:dstrike w:val="false"/>
          <w:sz w:val="20"/>
          <w:u w:val="none"/>
          <w:effect w:val="none"/>
        </w:rPr>
        <w:t>Accounting Standards and Policies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Recent Accounting Developments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2024, the Financial Accounting Standards Board (“FASB”) issued Accounting Standard Update (“ASU”)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2024-03, Income Statement — Reporting Comprehensive Income — Expense Disaggregation Disclosures (Subtopic 220-40):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Disaggregation of Income Statement Expenses, which requires improved disclosure of the nature and disaggregation of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 expenses.  The standard is effective for annual periods beginning after December 15, 2026 and interim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beginning after December 15, 2027.  The Company is currently evaluating the potential impact that this standard may have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its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May 2025, the FASB issued ASU 2025-03, Business Combinations (Topic 805) and Consolidation (Topic 810):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Determining the Accounting Acquirer in the Acquisition of a Variable Interest Entity, which revises guidance on how an entity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should identify the accounting acquirer in a business combination in which the legal acquiree is a variable interest entity.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standard is effective for annual periods beginning after December 15, 2026 and interim periods within those annual reporting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periods.  The Company is currently evaluating the potential impact that this standard may have on its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September 2025, the FASB issued ASU 2025-06, Intangibles — Goodwill and Other — Internal-Use Software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(Subtopic 350-40): Targeted Improvements to the Accounting for Internal-Use Software, which increases the operability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recognition guidance considering different methods of software development.  The standard is effective for annual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beginning after December 15, 2027 and interim periods within those annual reporting periods. The Company is currently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evaluating the potential impact that this standard may have on its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2025, the FASB issued ASU 2025-09, Derivatives and Hedging (Topic 815): Hedge Accounting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Improvements, which amends certain aspects of the hedge accounting guidance to more closely align hedge accounting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economics of an entity’s risk management activities.  The standard is effective for annual reporting periods beginning after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15, 2026 and interim periods within those annual reporting periods.  The Company is currently evaluating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potential impact that this standard may have on its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3.</w:t>
      </w:r>
      <w:r>
        <w:rPr>
          <w:rFonts w:ascii="Times New Roman;serif" w:hAnsi="Times New Roman;serif"/>
          <w:b/>
          <w:i w:val="false"/>
          <w:caps w:val="false"/>
          <w:smallCaps w:val="false"/>
          <w:strike w:val="false"/>
          <w:dstrike w:val="false"/>
          <w:sz w:val="20"/>
          <w:u w:val="none"/>
          <w:effect w:val="none"/>
        </w:rPr>
        <w:t>Investments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Company’s Investments:</w:t>
      </w:r>
    </w:p>
    <w:tbl>
      <w:tblPr>
        <w:tblW w:w="6581" w:type="dxa"/>
        <w:jc w:val="left"/>
        <w:tblInd w:w="0" w:type="dxa"/>
        <w:tblLayout w:type="fixed"/>
        <w:tblCellMar>
          <w:top w:w="28" w:type="dxa"/>
          <w:left w:w="28" w:type="dxa"/>
          <w:bottom w:w="28" w:type="dxa"/>
          <w:right w:w="28" w:type="dxa"/>
        </w:tblCellMar>
      </w:tblPr>
      <w:tblGrid>
        <w:gridCol w:w="4501"/>
        <w:gridCol w:w="109"/>
        <w:gridCol w:w="1096"/>
        <w:gridCol w:w="109"/>
        <w:gridCol w:w="766"/>
      </w:tblGrid>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Marketable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securities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$43.7</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48.1</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marketable securities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91.8</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Other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 measured at NAV as a practical expedient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600.8</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 without readily determinable fair values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r>
      <w:tr>
        <w:trPr/>
        <w:tc>
          <w:tcPr>
            <w:tcW w:w="4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other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666.1</w:t>
            </w:r>
          </w:p>
        </w:tc>
      </w:tr>
      <w:tr>
        <w:trPr/>
        <w:tc>
          <w:tcPr>
            <w:tcW w:w="4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$757.9</w:t>
            </w:r>
          </w:p>
        </w:tc>
      </w:tr>
    </w:tbl>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Marketable Securities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Equity Securities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cost, gross unrealized gains, gross unrealized losses, and fair value of investments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equity securities:</w:t>
      </w:r>
    </w:p>
    <w:tbl>
      <w:tblPr>
        <w:tblW w:w="3611" w:type="dxa"/>
        <w:jc w:val="left"/>
        <w:tblInd w:w="0" w:type="dxa"/>
        <w:tblLayout w:type="fixed"/>
        <w:tblCellMar>
          <w:top w:w="28" w:type="dxa"/>
          <w:left w:w="28" w:type="dxa"/>
          <w:bottom w:w="28" w:type="dxa"/>
          <w:right w:w="28" w:type="dxa"/>
        </w:tblCellMar>
      </w:tblPr>
      <w:tblGrid>
        <w:gridCol w:w="1531"/>
        <w:gridCol w:w="109"/>
        <w:gridCol w:w="1096"/>
        <w:gridCol w:w="109"/>
        <w:gridCol w:w="766"/>
      </w:tblGrid>
      <w:tr>
        <w:trPr/>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1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w:t>
            </w:r>
          </w:p>
        </w:tc>
      </w:tr>
      <w:tr>
        <w:trPr/>
        <w:tc>
          <w:tcPr>
            <w:tcW w:w="1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w:t>
            </w:r>
          </w:p>
        </w:tc>
      </w:tr>
      <w:tr>
        <w:trPr/>
        <w:tc>
          <w:tcPr>
            <w:tcW w:w="1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Unrealized losses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w:t>
            </w:r>
          </w:p>
        </w:tc>
      </w:tr>
      <w:tr>
        <w:trPr/>
        <w:tc>
          <w:tcPr>
            <w:tcW w:w="153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$43.7</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investments in equity securities include consolidated Affiliate-sponsored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 products with fair values of $9.2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$9.9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2025, the Company recognized net unrealized gains on equity securities still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held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$4.2 million, respectively.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recognized net unrealized gains on equity securities still held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$3.7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Debt Securities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cost, gross unrealized gains, gross unrealized losses, and fair value of investments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Affiliate-sponsored investment products:</w:t>
      </w:r>
    </w:p>
    <w:tbl>
      <w:tblPr>
        <w:tblW w:w="3611" w:type="dxa"/>
        <w:jc w:val="left"/>
        <w:tblInd w:w="0" w:type="dxa"/>
        <w:tblLayout w:type="fixed"/>
        <w:tblCellMar>
          <w:top w:w="28" w:type="dxa"/>
          <w:left w:w="28" w:type="dxa"/>
          <w:bottom w:w="28" w:type="dxa"/>
          <w:right w:w="28" w:type="dxa"/>
        </w:tblCellMar>
      </w:tblPr>
      <w:tblGrid>
        <w:gridCol w:w="1531"/>
        <w:gridCol w:w="109"/>
        <w:gridCol w:w="1096"/>
        <w:gridCol w:w="109"/>
        <w:gridCol w:w="766"/>
      </w:tblGrid>
      <w:tr>
        <w:trPr/>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1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$48.2</w:t>
            </w:r>
          </w:p>
        </w:tc>
      </w:tr>
      <w:tr>
        <w:trPr/>
        <w:tc>
          <w:tcPr>
            <w:tcW w:w="15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Unrealized gains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1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Unrealized losses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r>
      <w:tr>
        <w:trPr/>
        <w:tc>
          <w:tcPr>
            <w:tcW w:w="15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$48.1</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2025, the Company recognized net unrealized gains on debt securities still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held as of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$2.2 million, respectively.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recognized net unrealized gains (losses) on debt securities still held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million,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Other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Investments Measured at NAV as a Practical Expedient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summarizes the fair values of investments that are measured at net asset value (“NAV”) as a practical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expedient:</w:t>
      </w:r>
    </w:p>
    <w:tbl>
      <w:tblPr>
        <w:tblW w:w="5122" w:type="dxa"/>
        <w:jc w:val="left"/>
        <w:tblInd w:w="0" w:type="dxa"/>
        <w:tblLayout w:type="fixed"/>
        <w:tblCellMar>
          <w:top w:w="28" w:type="dxa"/>
          <w:left w:w="28" w:type="dxa"/>
          <w:bottom w:w="28" w:type="dxa"/>
          <w:right w:w="28" w:type="dxa"/>
        </w:tblCellMar>
      </w:tblPr>
      <w:tblGrid>
        <w:gridCol w:w="3106"/>
        <w:gridCol w:w="1141"/>
        <w:gridCol w:w="109"/>
        <w:gridCol w:w="766"/>
      </w:tblGrid>
      <w:tr>
        <w:trPr/>
        <w:tc>
          <w:tcPr>
            <w:tcW w:w="310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3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Investments with limited liquidity</w:t>
            </w:r>
            <w:r>
              <w:rPr>
                <w:rFonts w:ascii="Times New Roman;serif" w:hAnsi="Times New Roman;serif"/>
                <w:b w:val="false"/>
                <w:i w:val="false"/>
                <w:caps w:val="false"/>
                <w:smallCaps w:val="false"/>
                <w:sz w:val="10"/>
              </w:rPr>
              <w:t>(1)</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$558.5</w:t>
            </w:r>
          </w:p>
        </w:tc>
      </w:tr>
      <w:tr>
        <w:trPr/>
        <w:tc>
          <w:tcPr>
            <w:tcW w:w="31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Investments with periodic liquidity</w:t>
            </w:r>
            <w:r>
              <w:rPr>
                <w:rFonts w:ascii="Times New Roman;serif" w:hAnsi="Times New Roman;serif"/>
                <w:b w:val="false"/>
                <w:i w:val="false"/>
                <w:caps w:val="false"/>
                <w:smallCaps w:val="false"/>
                <w:sz w:val="10"/>
              </w:rPr>
              <w:t>(2)</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w:t>
            </w:r>
          </w:p>
        </w:tc>
      </w:tr>
      <w:tr>
        <w:trPr/>
        <w:tc>
          <w:tcPr>
            <w:tcW w:w="3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Total</w:t>
            </w:r>
            <w:r>
              <w:rPr>
                <w:rFonts w:ascii="Times New Roman;serif" w:hAnsi="Times New Roman;serif"/>
                <w:b w:val="false"/>
                <w:i w:val="false"/>
                <w:caps w:val="false"/>
                <w:smallCaps w:val="false"/>
                <w:sz w:val="10"/>
              </w:rPr>
              <w:t>(3)</w:t>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$600.8</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 xml:space="preserve">The Company expects to receive distributions related to its interests in investments with limited liquidity as the underlying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assets are liquidated over the life of the investments, which is generally up 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15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Company accounts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majority of its interests in investments with limited liquidity one quarter in arrears (adjusted for current period calls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distributions).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Investments with periodic liquidity are generally redeemable on a daily, monthly, or quarterly basis.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(3)</w:t>
      </w:r>
      <w:r>
        <w:rPr>
          <w:rFonts w:ascii="Times New Roman;serif" w:hAnsi="Times New Roman;serif"/>
          <w:b w:val="false"/>
          <w:i w:val="false"/>
          <w:caps w:val="false"/>
          <w:smallCaps w:val="false"/>
          <w:strike w:val="false"/>
          <w:dstrike w:val="false"/>
          <w:sz w:val="20"/>
          <w:u w:val="none"/>
          <w:effect w:val="none"/>
        </w:rPr>
        <w:t xml:space="preserve">Investments measured at NAV as a practical expedient primarily invest in a broad range of private markets.  Fair value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attributable to the controlling interest was $456.6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$486.4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the Company’s unfunded commitments attributed to investments measured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NAV as a practical expedient were $283.0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$335.5 million, respectively.  As of June 30, 2026,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unfunded commitments attributed to investments with structures yet to be determined were $75.0 million.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Debt Securities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cost, gross unrealized losses, and fair value of investments in consolidated Affiliate-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sponsored investment products that are valued using a Level 3 fair value measurement:</w:t>
      </w:r>
    </w:p>
    <w:tbl>
      <w:tblPr>
        <w:tblW w:w="3611" w:type="dxa"/>
        <w:jc w:val="left"/>
        <w:tblInd w:w="0" w:type="dxa"/>
        <w:tblLayout w:type="fixed"/>
        <w:tblCellMar>
          <w:top w:w="28" w:type="dxa"/>
          <w:left w:w="28" w:type="dxa"/>
          <w:bottom w:w="28" w:type="dxa"/>
          <w:right w:w="28" w:type="dxa"/>
        </w:tblCellMar>
      </w:tblPr>
      <w:tblGrid>
        <w:gridCol w:w="1531"/>
        <w:gridCol w:w="109"/>
        <w:gridCol w:w="1096"/>
        <w:gridCol w:w="109"/>
        <w:gridCol w:w="766"/>
      </w:tblGrid>
      <w:tr>
        <w:trPr/>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1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r>
      <w:tr>
        <w:trPr/>
        <w:tc>
          <w:tcPr>
            <w:tcW w:w="15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Unrealized losses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15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Fair value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 the Company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recognize any net unrealized gains or losses 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debt securities.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the Company recognized net unrealized losses on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securities still held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$0.2 million.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Investments Without Readily Determinable Fair Values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cost, cumulative unrealized gains, and carrying amount of the Company’s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a private corporation where it does not exercise significant influence, and does not have a readily determinable fair value:</w:t>
      </w:r>
    </w:p>
    <w:tbl>
      <w:tblPr>
        <w:tblW w:w="4432" w:type="dxa"/>
        <w:jc w:val="left"/>
        <w:tblInd w:w="0" w:type="dxa"/>
        <w:tblLayout w:type="fixed"/>
        <w:tblCellMar>
          <w:top w:w="28" w:type="dxa"/>
          <w:left w:w="28" w:type="dxa"/>
          <w:bottom w:w="28" w:type="dxa"/>
          <w:right w:w="28" w:type="dxa"/>
        </w:tblCellMar>
      </w:tblPr>
      <w:tblGrid>
        <w:gridCol w:w="2461"/>
        <w:gridCol w:w="1096"/>
        <w:gridCol w:w="109"/>
        <w:gridCol w:w="766"/>
      </w:tblGrid>
      <w:tr>
        <w:trPr/>
        <w:tc>
          <w:tcPr>
            <w:tcW w:w="246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24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w:t>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w:t>
            </w:r>
          </w:p>
        </w:tc>
      </w:tr>
      <w:tr>
        <w:trPr/>
        <w:tc>
          <w:tcPr>
            <w:tcW w:w="24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Cumulative unrealized gains</w:t>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r>
      <w:tr>
        <w:trPr/>
        <w:tc>
          <w:tcPr>
            <w:tcW w:w="24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Carrying amount</w:t>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2026, the Company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recognize any net unrealized gains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losses on the underlying investment.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present the changes in other investments:</w:t>
      </w:r>
    </w:p>
    <w:tbl>
      <w:tblPr>
        <w:tblW w:w="9641" w:type="dxa"/>
        <w:jc w:val="left"/>
        <w:tblInd w:w="0" w:type="dxa"/>
        <w:tblLayout w:type="fixed"/>
        <w:tblCellMar>
          <w:top w:w="28" w:type="dxa"/>
          <w:left w:w="28" w:type="dxa"/>
          <w:bottom w:w="28" w:type="dxa"/>
          <w:right w:w="28" w:type="dxa"/>
        </w:tblCellMar>
      </w:tblPr>
      <w:tblGrid>
        <w:gridCol w:w="1426"/>
        <w:gridCol w:w="109"/>
        <w:gridCol w:w="1051"/>
        <w:gridCol w:w="109"/>
        <w:gridCol w:w="796"/>
        <w:gridCol w:w="109"/>
        <w:gridCol w:w="1126"/>
        <w:gridCol w:w="109"/>
        <w:gridCol w:w="676"/>
        <w:gridCol w:w="109"/>
        <w:gridCol w:w="1051"/>
        <w:gridCol w:w="109"/>
        <w:gridCol w:w="796"/>
        <w:gridCol w:w="109"/>
        <w:gridCol w:w="1126"/>
        <w:gridCol w:w="109"/>
        <w:gridCol w:w="721"/>
      </w:tblGrid>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6" w:type="dxa"/>
            <w:gridSpan w:val="1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Ended June 30, </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6"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Debt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Debt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Balance,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beginning of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$621.3</w:t>
            </w:r>
          </w:p>
        </w:tc>
      </w:tr>
      <w:tr>
        <w:trPr/>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Purchases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commitments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funded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58.3</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distributions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(18.6)</w:t>
            </w:r>
          </w:p>
        </w:tc>
      </w:tr>
      <w:tr>
        <w:trPr/>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realized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and unrealized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gains (losses)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Balance, end of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$666.1</w:t>
            </w:r>
          </w:p>
        </w:tc>
      </w:tr>
    </w:tbl>
    <w:tbl>
      <w:tblPr>
        <w:tblW w:w="9641" w:type="dxa"/>
        <w:jc w:val="left"/>
        <w:tblInd w:w="0" w:type="dxa"/>
        <w:tblLayout w:type="fixed"/>
        <w:tblCellMar>
          <w:top w:w="28" w:type="dxa"/>
          <w:left w:w="28" w:type="dxa"/>
          <w:bottom w:w="28" w:type="dxa"/>
          <w:right w:w="28" w:type="dxa"/>
        </w:tblCellMar>
      </w:tblPr>
      <w:tblGrid>
        <w:gridCol w:w="1426"/>
        <w:gridCol w:w="109"/>
        <w:gridCol w:w="1051"/>
        <w:gridCol w:w="109"/>
        <w:gridCol w:w="796"/>
        <w:gridCol w:w="109"/>
        <w:gridCol w:w="1126"/>
        <w:gridCol w:w="109"/>
        <w:gridCol w:w="676"/>
        <w:gridCol w:w="109"/>
        <w:gridCol w:w="1051"/>
        <w:gridCol w:w="109"/>
        <w:gridCol w:w="796"/>
        <w:gridCol w:w="109"/>
        <w:gridCol w:w="1126"/>
        <w:gridCol w:w="109"/>
        <w:gridCol w:w="721"/>
      </w:tblGrid>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6" w:type="dxa"/>
            <w:gridSpan w:val="1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Six Months Ended June 30,</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6"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7"/>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Debt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Debt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Balance,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beginning of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$626.8</w:t>
            </w:r>
          </w:p>
        </w:tc>
      </w:tr>
      <w:tr>
        <w:trPr/>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Purchases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commitments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funded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74.2</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Sales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distributions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(43.3)</w:t>
            </w:r>
          </w:p>
        </w:tc>
      </w:tr>
      <w:tr>
        <w:trPr/>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realized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and unrealized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gains (losses)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w:t>
            </w:r>
          </w:p>
        </w:tc>
      </w:tr>
      <w:tr>
        <w:trPr/>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Balance, end of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$666.1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4.</w:t>
      </w:r>
      <w:r>
        <w:rPr>
          <w:rFonts w:ascii="Times New Roman;serif" w:hAnsi="Times New Roman;serif"/>
          <w:b/>
          <w:i w:val="false"/>
          <w:caps w:val="false"/>
          <w:smallCaps w:val="false"/>
          <w:strike w:val="false"/>
          <w:dstrike w:val="false"/>
          <w:sz w:val="20"/>
          <w:u w:val="none"/>
          <w:effect w:val="none"/>
        </w:rPr>
        <w:t>Fair Value Measurements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summarize financial assets and liabilities that are measured at fair value on a recurring basis:</w:t>
      </w:r>
    </w:p>
    <w:tbl>
      <w:tblPr>
        <w:tblW w:w="8042" w:type="dxa"/>
        <w:jc w:val="left"/>
        <w:tblInd w:w="0" w:type="dxa"/>
        <w:tblLayout w:type="fixed"/>
        <w:tblCellMar>
          <w:top w:w="28" w:type="dxa"/>
          <w:left w:w="28" w:type="dxa"/>
          <w:bottom w:w="28" w:type="dxa"/>
          <w:right w:w="28" w:type="dxa"/>
        </w:tblCellMar>
      </w:tblPr>
      <w:tblGrid>
        <w:gridCol w:w="3106"/>
        <w:gridCol w:w="1096"/>
        <w:gridCol w:w="109"/>
        <w:gridCol w:w="1351"/>
        <w:gridCol w:w="109"/>
        <w:gridCol w:w="976"/>
        <w:gridCol w:w="109"/>
        <w:gridCol w:w="1186"/>
      </w:tblGrid>
      <w:tr>
        <w:trPr/>
        <w:tc>
          <w:tcPr>
            <w:tcW w:w="310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731" w:type="dxa"/>
            <w:gridSpan w:val="5"/>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 Measurements</w:t>
            </w:r>
          </w:p>
        </w:tc>
      </w:tr>
      <w:tr>
        <w:trPr/>
        <w:tc>
          <w:tcPr>
            <w:tcW w:w="3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6"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3731" w:type="dxa"/>
            <w:gridSpan w:val="5"/>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3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Quoted Prices 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Active Markets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Identical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 (Level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Significant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Observable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Inputs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Significant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Unobservable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Inputs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3)</w:t>
            </w:r>
          </w:p>
        </w:tc>
      </w:tr>
      <w:tr>
        <w:trPr/>
        <w:tc>
          <w:tcPr>
            <w:tcW w:w="310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Assets</w:t>
            </w:r>
            <w:r>
              <w:rPr>
                <w:rFonts w:ascii="Times New Roman;serif" w:hAnsi="Times New Roman;serif"/>
                <w:b/>
                <w:i w:val="false"/>
                <w:caps w:val="false"/>
                <w:smallCaps w:val="false"/>
                <w:sz w:val="10"/>
              </w:rPr>
              <w:t>(1)</w:t>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1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 in equity securities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1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 in debt securities</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106"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Liabilities</w:t>
            </w:r>
            <w:r>
              <w:rPr>
                <w:rFonts w:ascii="Times New Roman;serif" w:hAnsi="Times New Roman;serif"/>
                <w:b/>
                <w:i w:val="false"/>
                <w:caps w:val="false"/>
                <w:smallCaps w:val="false"/>
                <w:sz w:val="10"/>
              </w:rPr>
              <w:t>(2)</w:t>
            </w:r>
          </w:p>
        </w:tc>
        <w:tc>
          <w:tcPr>
            <w:tcW w:w="10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1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Contingent payment obligations</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r>
      <w:tr>
        <w:trPr/>
        <w:tc>
          <w:tcPr>
            <w:tcW w:w="31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equity purchase obligations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161.2</w:t>
            </w:r>
          </w:p>
        </w:tc>
      </w:tr>
    </w:tbl>
    <w:tbl>
      <w:tblPr>
        <w:tblW w:w="7667" w:type="dxa"/>
        <w:jc w:val="left"/>
        <w:tblInd w:w="0" w:type="dxa"/>
        <w:tblLayout w:type="fixed"/>
        <w:tblCellMar>
          <w:top w:w="28" w:type="dxa"/>
          <w:left w:w="28" w:type="dxa"/>
          <w:bottom w:w="28" w:type="dxa"/>
          <w:right w:w="28" w:type="dxa"/>
        </w:tblCellMar>
      </w:tblPr>
      <w:tblGrid>
        <w:gridCol w:w="3106"/>
        <w:gridCol w:w="721"/>
        <w:gridCol w:w="109"/>
        <w:gridCol w:w="1351"/>
        <w:gridCol w:w="109"/>
        <w:gridCol w:w="976"/>
        <w:gridCol w:w="109"/>
        <w:gridCol w:w="1186"/>
      </w:tblGrid>
      <w:tr>
        <w:trPr/>
        <w:tc>
          <w:tcPr>
            <w:tcW w:w="31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731" w:type="dxa"/>
            <w:gridSpan w:val="5"/>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 Measurements</w:t>
            </w:r>
          </w:p>
        </w:tc>
      </w:tr>
      <w:tr>
        <w:trPr/>
        <w:tc>
          <w:tcPr>
            <w:tcW w:w="3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2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3731" w:type="dxa"/>
            <w:gridSpan w:val="5"/>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3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2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Quoted Prices 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Active Markets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Identical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Assets (Level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Significant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Observable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Inputs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Significant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Unobservable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Inputs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3)</w:t>
            </w:r>
          </w:p>
        </w:tc>
      </w:tr>
      <w:tr>
        <w:trPr/>
        <w:tc>
          <w:tcPr>
            <w:tcW w:w="310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Assets</w:t>
            </w:r>
            <w:r>
              <w:rPr>
                <w:rFonts w:ascii="Times New Roman;serif" w:hAnsi="Times New Roman;serif"/>
                <w:b/>
                <w:i w:val="false"/>
                <w:caps w:val="false"/>
                <w:smallCaps w:val="false"/>
                <w:sz w:val="10"/>
              </w:rPr>
              <w:t>(1)</w:t>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1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 in equity securities</w:t>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1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 in debt securities</w:t>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r>
      <w:tr>
        <w:trPr/>
        <w:tc>
          <w:tcPr>
            <w:tcW w:w="3106"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Liabilities</w:t>
            </w:r>
            <w:r>
              <w:rPr>
                <w:rFonts w:ascii="Times New Roman;serif" w:hAnsi="Times New Roman;serif"/>
                <w:b/>
                <w:i w:val="false"/>
                <w:caps w:val="false"/>
                <w:smallCaps w:val="false"/>
                <w:sz w:val="10"/>
              </w:rPr>
              <w:t>(2)</w:t>
            </w:r>
          </w:p>
        </w:tc>
        <w:tc>
          <w:tcPr>
            <w:tcW w:w="7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1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Contingent payment obligations</w:t>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r>
      <w:tr>
        <w:trPr/>
        <w:tc>
          <w:tcPr>
            <w:tcW w:w="31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equity purchase obligations</w:t>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200.4</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Amounts are recorded in Investments on the Consolidated Balance Sheets.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Amounts are recorded in Other liabilities on the Consolidated Balance Sheets.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Level 3 Financial Assets and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the changes in the Company’s investments in debt securities classified as Level 3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assets:</w:t>
      </w:r>
    </w:p>
    <w:tbl>
      <w:tblPr>
        <w:tblW w:w="9397" w:type="dxa"/>
        <w:jc w:val="left"/>
        <w:tblInd w:w="0" w:type="dxa"/>
        <w:tblLayout w:type="fixed"/>
        <w:tblCellMar>
          <w:top w:w="28" w:type="dxa"/>
          <w:left w:w="28" w:type="dxa"/>
          <w:bottom w:w="28" w:type="dxa"/>
          <w:right w:w="28" w:type="dxa"/>
        </w:tblCellMar>
      </w:tblPr>
      <w:tblGrid>
        <w:gridCol w:w="5851"/>
        <w:gridCol w:w="109"/>
        <w:gridCol w:w="698"/>
        <w:gridCol w:w="163"/>
        <w:gridCol w:w="878"/>
        <w:gridCol w:w="109"/>
        <w:gridCol w:w="614"/>
        <w:gridCol w:w="143"/>
        <w:gridCol w:w="832"/>
      </w:tblGrid>
      <w:tr>
        <w:trPr/>
        <w:tc>
          <w:tcPr>
            <w:tcW w:w="5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8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5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6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58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58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Purchases and commitments funded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8"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r>
      <w:tr>
        <w:trPr/>
        <w:tc>
          <w:tcPr>
            <w:tcW w:w="58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Sales and distributions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8"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8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Net realized and unrealized losses</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8"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58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w:t>
            </w:r>
          </w:p>
        </w:tc>
      </w:tr>
      <w:tr>
        <w:trPr/>
        <w:tc>
          <w:tcPr>
            <w:tcW w:w="58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change in unrealized losses relating to instruments still held at the </w:t>
            </w:r>
          </w:p>
          <w:p>
            <w:pPr>
              <w:pStyle w:val="TableContents"/>
              <w:bidi w:val="0"/>
              <w:spacing w:lineRule="atLeast" w:line="200" w:before="0" w:after="0"/>
              <w:jc w:val="left"/>
              <w:rPr/>
            </w:pPr>
            <w:r>
              <w:rPr>
                <w:rFonts w:ascii="Times New Roman;serif" w:hAnsi="Times New Roman;serif"/>
                <w:b w:val="false"/>
                <w:i w:val="false"/>
                <w:caps w:val="false"/>
                <w:smallCaps w:val="false"/>
                <w:sz w:val="20"/>
              </w:rPr>
              <w:t>reporting date</w:t>
            </w:r>
            <w:r>
              <w:rPr>
                <w:rFonts w:ascii="Times New Roman;serif" w:hAnsi="Times New Roman;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 xml:space="preserve">Gains and losses resulting from changes to unrealized gains (losses) are included in Investment and other income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Statements of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present the changes in Level 3 financial liabilities:</w:t>
      </w:r>
    </w:p>
    <w:tbl>
      <w:tblPr>
        <w:tblW w:w="9156" w:type="dxa"/>
        <w:jc w:val="left"/>
        <w:tblInd w:w="0" w:type="dxa"/>
        <w:tblLayout w:type="fixed"/>
        <w:tblCellMar>
          <w:top w:w="28" w:type="dxa"/>
          <w:left w:w="28" w:type="dxa"/>
          <w:bottom w:w="28" w:type="dxa"/>
          <w:right w:w="28" w:type="dxa"/>
        </w:tblCellMar>
      </w:tblPr>
      <w:tblGrid>
        <w:gridCol w:w="4201"/>
        <w:gridCol w:w="109"/>
        <w:gridCol w:w="961"/>
        <w:gridCol w:w="109"/>
        <w:gridCol w:w="1276"/>
        <w:gridCol w:w="109"/>
        <w:gridCol w:w="961"/>
        <w:gridCol w:w="109"/>
        <w:gridCol w:w="1321"/>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846"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Ended June 30, </w:t>
            </w:r>
          </w:p>
        </w:tc>
      </w:tr>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Affiliate Equity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Purchase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Affiliate Equity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Purchase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$194.2</w:t>
            </w:r>
          </w:p>
        </w:tc>
      </w:tr>
      <w:tr>
        <w:trPr/>
        <w:tc>
          <w:tcPr>
            <w:tcW w:w="4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Purchases and issuances</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Settlements and reductions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(28.1)</w:t>
            </w:r>
          </w:p>
        </w:tc>
      </w:tr>
      <w:tr>
        <w:trPr/>
        <w:tc>
          <w:tcPr>
            <w:tcW w:w="4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Net realized and unrealized (gains) losses</w:t>
            </w:r>
            <w:r>
              <w:rPr>
                <w:rFonts w:ascii="Times New Roman;serif" w:hAnsi="Times New Roman;serif"/>
                <w:b w:val="false"/>
                <w:i w:val="false"/>
                <w:caps w:val="false"/>
                <w:smallCaps w:val="false"/>
                <w:sz w:val="1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$200.4</w:t>
            </w:r>
          </w:p>
        </w:tc>
      </w:tr>
      <w:tr>
        <w:trPr/>
        <w:tc>
          <w:tcPr>
            <w:tcW w:w="4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change in unrealized (gains) losses relating to </w:t>
            </w:r>
          </w:p>
          <w:p>
            <w:pPr>
              <w:pStyle w:val="TableContents"/>
              <w:bidi w:val="0"/>
              <w:spacing w:lineRule="atLeast" w:line="200" w:before="0" w:after="0"/>
              <w:jc w:val="left"/>
              <w:rPr/>
            </w:pPr>
            <w:r>
              <w:rPr>
                <w:rFonts w:ascii="Times New Roman;serif" w:hAnsi="Times New Roman;serif"/>
                <w:b w:val="false"/>
                <w:i w:val="false"/>
                <w:caps w:val="false"/>
                <w:smallCaps w:val="false"/>
                <w:sz w:val="20"/>
              </w:rPr>
              <w:t>instruments still held at the reporting date</w:t>
            </w:r>
            <w:r>
              <w:rPr>
                <w:rFonts w:ascii="Times New Roman;serif" w:hAnsi="Times New Roman;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r>
    </w:tbl>
    <w:tbl>
      <w:tblPr>
        <w:tblW w:w="9156" w:type="dxa"/>
        <w:jc w:val="left"/>
        <w:tblInd w:w="0" w:type="dxa"/>
        <w:tblLayout w:type="fixed"/>
        <w:tblCellMar>
          <w:top w:w="28" w:type="dxa"/>
          <w:left w:w="28" w:type="dxa"/>
          <w:bottom w:w="28" w:type="dxa"/>
          <w:right w:w="28" w:type="dxa"/>
        </w:tblCellMar>
      </w:tblPr>
      <w:tblGrid>
        <w:gridCol w:w="4201"/>
        <w:gridCol w:w="109"/>
        <w:gridCol w:w="961"/>
        <w:gridCol w:w="109"/>
        <w:gridCol w:w="1276"/>
        <w:gridCol w:w="109"/>
        <w:gridCol w:w="961"/>
        <w:gridCol w:w="109"/>
        <w:gridCol w:w="1321"/>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6"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Six Months Ended June 30,</w:t>
            </w:r>
          </w:p>
        </w:tc>
      </w:tr>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Affiliate Equity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Purchase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Affiliate Equity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Purchase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$161.2</w:t>
            </w:r>
          </w:p>
        </w:tc>
      </w:tr>
      <w:tr>
        <w:trPr/>
        <w:tc>
          <w:tcPr>
            <w:tcW w:w="4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Purchases and issuances</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61.3</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Settlements and reductions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(62.0)</w:t>
            </w:r>
          </w:p>
        </w:tc>
      </w:tr>
      <w:tr>
        <w:trPr/>
        <w:tc>
          <w:tcPr>
            <w:tcW w:w="4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Net realized and unrealized (gains) losses</w:t>
            </w:r>
            <w:r>
              <w:rPr>
                <w:rFonts w:ascii="Times New Roman;serif" w:hAnsi="Times New Roman;serif"/>
                <w:b w:val="false"/>
                <w:i w:val="false"/>
                <w:caps w:val="false"/>
                <w:smallCaps w:val="false"/>
                <w:sz w:val="1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w:t>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end of period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$200.4</w:t>
            </w:r>
          </w:p>
        </w:tc>
      </w:tr>
      <w:tr>
        <w:trPr/>
        <w:tc>
          <w:tcPr>
            <w:tcW w:w="4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change in unrealized (gains) losses relating to </w:t>
            </w:r>
          </w:p>
          <w:p>
            <w:pPr>
              <w:pStyle w:val="TableContents"/>
              <w:bidi w:val="0"/>
              <w:spacing w:lineRule="atLeast" w:line="200" w:before="0" w:after="0"/>
              <w:jc w:val="left"/>
              <w:rPr/>
            </w:pPr>
            <w:r>
              <w:rPr>
                <w:rFonts w:ascii="Times New Roman;serif" w:hAnsi="Times New Roman;serif"/>
                <w:b w:val="false"/>
                <w:i w:val="false"/>
                <w:caps w:val="false"/>
                <w:smallCaps w:val="false"/>
                <w:sz w:val="20"/>
              </w:rPr>
              <w:t>instruments still held at the reporting date</w:t>
            </w:r>
            <w:r>
              <w:rPr>
                <w:rFonts w:ascii="Times New Roman;serif" w:hAnsi="Times New Roman;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$39.6</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Affiliate equity purchase obligation activity includes transfers from Redeemable non-controlling interests.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 xml:space="preserve">Gains and losses resulting from changes to expected payments related to contingent payment obligations and the accretion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these obligations are included in Other expenses (net) and included in Interest expense, respectively, in the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of Income.  Changes to the redemption value of Affiliate equity purchase obligations are included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Compensation and related expenses in the Consolidated Statements of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certain quantitative information about the significant unobservable inputs used in valuing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recurring Level 3 fair value measurements:</w:t>
      </w:r>
    </w:p>
    <w:tbl>
      <w:tblPr>
        <w:tblW w:w="10042" w:type="dxa"/>
        <w:jc w:val="left"/>
        <w:tblInd w:w="0" w:type="dxa"/>
        <w:tblLayout w:type="fixed"/>
        <w:tblCellMar>
          <w:top w:w="28" w:type="dxa"/>
          <w:left w:w="28" w:type="dxa"/>
          <w:bottom w:w="28" w:type="dxa"/>
          <w:right w:w="28" w:type="dxa"/>
        </w:tblCellMar>
      </w:tblPr>
      <w:tblGrid>
        <w:gridCol w:w="1576"/>
        <w:gridCol w:w="1021"/>
        <w:gridCol w:w="109"/>
        <w:gridCol w:w="1141"/>
        <w:gridCol w:w="109"/>
        <w:gridCol w:w="931"/>
        <w:gridCol w:w="109"/>
        <w:gridCol w:w="1021"/>
        <w:gridCol w:w="109"/>
        <w:gridCol w:w="841"/>
        <w:gridCol w:w="109"/>
        <w:gridCol w:w="931"/>
        <w:gridCol w:w="109"/>
        <w:gridCol w:w="931"/>
        <w:gridCol w:w="109"/>
        <w:gridCol w:w="886"/>
      </w:tblGrid>
      <w:tr>
        <w:trPr/>
        <w:tc>
          <w:tcPr>
            <w:tcW w:w="15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466" w:type="dxa"/>
            <w:gridSpan w:val="1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Quantitative Information about Level 3 Fair Value Measurements</w:t>
            </w:r>
          </w:p>
        </w:tc>
      </w:tr>
      <w:tr>
        <w:trPr/>
        <w:tc>
          <w:tcPr>
            <w:tcW w:w="1576"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r>
      <w:tr>
        <w:trPr/>
        <w:tc>
          <w:tcPr>
            <w:tcW w:w="15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Valuation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Techniques</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Unobservable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Input</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Range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Weighted </w:t>
            </w:r>
          </w:p>
          <w:p>
            <w:pPr>
              <w:pStyle w:val="TableContents"/>
              <w:bidi w:val="0"/>
              <w:spacing w:lineRule="atLeast" w:line="160" w:before="0" w:after="0"/>
              <w:jc w:val="left"/>
              <w:rPr/>
            </w:pPr>
            <w:r>
              <w:rPr>
                <w:rFonts w:ascii="Times New Roman;serif" w:hAnsi="Times New Roman;serif"/>
                <w:b/>
                <w:i w:val="false"/>
                <w:caps w:val="false"/>
                <w:smallCaps w:val="false"/>
                <w:sz w:val="16"/>
              </w:rPr>
              <w:t>Average</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Range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Weighted </w:t>
            </w:r>
          </w:p>
          <w:p>
            <w:pPr>
              <w:pStyle w:val="TableContents"/>
              <w:bidi w:val="0"/>
              <w:spacing w:lineRule="atLeast" w:line="160" w:before="0" w:after="0"/>
              <w:jc w:val="left"/>
              <w:rPr/>
            </w:pPr>
            <w:r>
              <w:rPr>
                <w:rFonts w:ascii="Times New Roman;serif" w:hAnsi="Times New Roman;serif"/>
                <w:b/>
                <w:i w:val="false"/>
                <w:caps w:val="false"/>
                <w:smallCaps w:val="false"/>
                <w:sz w:val="16"/>
              </w:rPr>
              <w:t>Average</w:t>
            </w:r>
            <w:r>
              <w:rPr>
                <w:rFonts w:ascii="Times New Roman;serif" w:hAnsi="Times New Roman;serif"/>
                <w:b/>
                <w:i w:val="false"/>
                <w:caps w:val="false"/>
                <w:smallCaps w:val="false"/>
                <w:sz w:val="10"/>
              </w:rPr>
              <w:t>(1)</w:t>
            </w:r>
          </w:p>
        </w:tc>
      </w:tr>
      <w:tr>
        <w:trPr/>
        <w:tc>
          <w:tcPr>
            <w:tcW w:w="157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Assets</w:t>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Investments in debt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securities</w:t>
            </w:r>
          </w:p>
        </w:tc>
        <w:tc>
          <w:tcPr>
            <w:tcW w:w="10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Transaction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price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N/A</w:t>
            </w:r>
          </w:p>
        </w:tc>
      </w:tr>
      <w:tr>
        <w:trPr/>
        <w:tc>
          <w:tcPr>
            <w:tcW w:w="1576"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Discounted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 rates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w:t>
            </w:r>
          </w:p>
        </w:tc>
      </w:tr>
      <w:tr>
        <w:trPr/>
        <w:tc>
          <w:tcPr>
            <w:tcW w:w="157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Financial Liabilities</w:t>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r>
      <w:tr>
        <w:trPr/>
        <w:tc>
          <w:tcPr>
            <w:tcW w:w="157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Contingent payment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obligations</w:t>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Monte Carlo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simulation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r>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r>
      <w:tr>
        <w:trPr/>
        <w:tc>
          <w:tcPr>
            <w:tcW w:w="157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Affiliate equity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purchase obligations</w:t>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Discounted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z w:val="16"/>
              </w:rPr>
              <w:t>Growth rates</w:t>
            </w:r>
            <w:r>
              <w:rPr>
                <w:rFonts w:ascii="Times New Roman;serif" w:hAnsi="Times New Roman;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(10)%</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(11)%</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w:t>
            </w:r>
          </w:p>
        </w:tc>
      </w:tr>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11%</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11%</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r>
      <w:tr>
        <w:trPr/>
        <w:tc>
          <w:tcPr>
            <w:tcW w:w="1576"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Monte Carlo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simulation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10%</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r>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5%</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Calculated by comparing the relative fair value of a security or an obligation to its respective total.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Represents growth rates of asset- and performance-based fees.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Investments in debt securities represent the fair value of investments in consolidated Affiliate-sponsored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When using cost as the valuation technique, increases to recent transaction prices would result in higher fair values.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When using a discounted cash flow valuation technique, increases to the discount rates used would result in lower fair values.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payment obligations represent the fair value of the expected future settlement amounts related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investments in its consolidated Affiliates.  Changes to assumed volatility and discount rates change the fair value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payment obligations.  Increases to the volatility rates used would result in higher fair values, while increases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discount rates used would result in lower fair values.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purchase obligations include agreements to purchase Affiliate equity and represent the fair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expected future settlement amounts.  When using a discounted cash flow valuation technique, increases to the assumed growth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rates used would result in higher fair values, while increases to the discount rates used would result in lower fair values.  When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using a Monte Carlo valuation technique, changes to assumed volatility and discount rates change the fair value of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purchase obligations.  Increases to the volatility rates used would result in higher fair values, while increases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discount rates used would result in lower fair values.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 xml:space="preserve">Other Financial Assets and Liabilities Not Carried at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Company’s other financial liabilities not carried at fair value:</w:t>
      </w:r>
    </w:p>
    <w:tbl>
      <w:tblPr>
        <w:tblW w:w="7147" w:type="dxa"/>
        <w:jc w:val="left"/>
        <w:tblInd w:w="0" w:type="dxa"/>
        <w:tblLayout w:type="fixed"/>
        <w:tblCellMar>
          <w:top w:w="28" w:type="dxa"/>
          <w:left w:w="28" w:type="dxa"/>
          <w:bottom w:w="28" w:type="dxa"/>
          <w:right w:w="28" w:type="dxa"/>
        </w:tblCellMar>
      </w:tblPr>
      <w:tblGrid>
        <w:gridCol w:w="2221"/>
        <w:gridCol w:w="826"/>
        <w:gridCol w:w="109"/>
        <w:gridCol w:w="931"/>
        <w:gridCol w:w="109"/>
        <w:gridCol w:w="826"/>
        <w:gridCol w:w="109"/>
        <w:gridCol w:w="931"/>
        <w:gridCol w:w="109"/>
        <w:gridCol w:w="976"/>
      </w:tblGrid>
      <w:tr>
        <w:trPr/>
        <w:tc>
          <w:tcPr>
            <w:tcW w:w="22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86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86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Carrying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Value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Carrying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Value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Hierarchy</w:t>
            </w:r>
          </w:p>
        </w:tc>
      </w:tr>
      <w:tr>
        <w:trPr/>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Senior notes</w:t>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Level 2</w:t>
            </w:r>
          </w:p>
        </w:tc>
      </w:tr>
      <w:tr>
        <w:trPr/>
        <w:tc>
          <w:tcPr>
            <w:tcW w:w="2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Junior subordinated notes</w:t>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Level 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carrying amount of Cash and cash equivalents, Receivables, Payables and accrued liabilities, and certain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approximates fair value because of the short-term nature of these instruments.  The carrying value of the revolver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defined in Note 6) approximates fair value because the revolver has variable interest based on selected short-term rates.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5.</w:t>
      </w:r>
      <w:r>
        <w:rPr>
          <w:rFonts w:ascii="Times New Roman;serif" w:hAnsi="Times New Roman;serif"/>
          <w:b/>
          <w:i w:val="false"/>
          <w:caps w:val="false"/>
          <w:smallCaps w:val="false"/>
          <w:strike w:val="false"/>
          <w:dstrike w:val="false"/>
          <w:sz w:val="20"/>
          <w:u w:val="none"/>
          <w:effect w:val="none"/>
        </w:rPr>
        <w:t>Investments in Affiliates</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and Affiliate-Sponsored</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Investment Products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evaluating whether an investment must be consolidated, the Company evaluates the risk, rewards, and significant terms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each of its Affiliates and other investments to determine if an investment is considered a voting rights entity (“VRE”) or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variable interest entity (“VIE”).  An entity is a VRE when the total equity investment at risk is sufficient to enable the entity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finance its activities independently, and when the equity holders have the obligation to absorb losses, the right to receive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residual returns, and the right to direct the activities of the entity that most significantly impact its economic performance.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entity is a VIE when it lacks one or more of the characteristics of a VRE, which, for the Company, are Affiliate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structured as partnerships (or similar entities) where the Company is a limited partner and lacks substantive kick-out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substantive participation rights over the general partner.  Assessing whether an entity is a VRE or VIE involves judgment.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Upon the occurrence of certain events, management reviews and reconsiders its previous conclusion regarding the status of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entity as a VRE or a VIE.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consolidates VREs when it has control over significant operating, financial, and investing decisions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entity.  When the Company lacks such control, but is deemed to have significant influence, the Company accounts for the VRE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equity method.  Investments with readily determinable fair values in which the Company does not have rights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exercise significant influence are recorded at fair value on the Consolidated Balance Sheets, with changes in fair value included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Investment and other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consolidates VIEs when it is the primary beneficiary of the entity, which is defined as having the power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direct the activities that most significantly impact the VIE’s economic performance and the obligation to absorb losses of, 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 to receive benefits from, the entity that could potentially be significant to the VIE.  Substantially all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Affiliates considered VIEs are controlled because the Company holds a majority of the voting interests or it is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managing member or general partner.  Furthermore, an Affiliate’s assets can be used for purposes other than the settlement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respective Affiliate’s obligations.  The Company applies the equity method of accounting to VIEs where the Company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not the primary beneficiary, but has the ability to exercise significant influence over operating and financial matters of the VIE.</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Investments in Affiliates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Substantially all of the Company’s Affiliates are considered VIEs and are either consolidated or accounted for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method.  A limited number of the Company’s Affiliates are considered VREs and most of these are accounted for 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equity method.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an Affiliate is consolidated, the portion of the earnings attributable to Affiliate management’s and any co-investor’s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ownership is included in Net income (non-controlling interests) in the Consolidated Statements of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Undistributed earnings attributable to Affiliate management’s and any co-investor’s equity ownership, along with their share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tangible or intangible net assets, are included in Non-controlling interests on the Consolidated Balance Sheets.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interests where the holder has certain rights to demand settlement are presented, at their current redemption values,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Redeemable non-controlling interests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Other liabilities on the Consolidated Balance Sheets.  The Company periodically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issues, sells, and purchases the equity of its consolidated Affiliates.  Because these transactions take place between entities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are under common control, any gains or losses attributable to these transactions are required to be included in Additional paid-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capital on the Consolidated Balance Sheets, net of any related income tax effects in the period the transaction occurs.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an Affiliate is accounted for under the equity method, the Company’s share of an Affiliate’s earnings or losses,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intangible amortization and impairments and tax,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included in Equity method income (net) in the Consolidated Statements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Income and the carrying value of the Affiliate is recorded in Equity method investments in Affiliates (net)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Balance Sheets.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periodically performs assessments to determine if the fair value of an investment may have declined below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related carrying value for its Affiliates accounted for under the equity method for a period that the Company considers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other-than-temporary.  The Company performs these assessments if certain triggering events occur or annually during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fourth quarter.  The Company first considers whether certain qualitative factors indicate an increased likelihood of a decline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an Affiliate during the reporting period.  If such a decline is identified, and it is likely that an investment’s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may have declined below its carrying value, the Company performs a quantitative assessment to determine if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exists.  Impairments are recorded as an expense in Equity method income (net) to reduce the carrying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Affiliate to fair value.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Company’s Affiliates are consolidated or accounted for under the equity method, depending upon the underlying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structure of and relationship with each Affiliate.  Substantially all of the Company’s consolidated Affiliates are VIEs.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Affiliates accounted for under the equity method considered VIEs generally require minimal levels of working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capital on each Affiliate’s balance sheet.  Certain of the Company’s Affiliates accounted for under the equity method hold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general partner and seed investments, which may be significant.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the Company’s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carrying value attributable to its Affiliates accounted for under the equity method considered VIEs was $2,763.6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$2,770.1 million, respectively.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including arrangements more fully described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 7, the Company’s maximum exposure to loss attributable to its Affiliates accounted for under the equity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considered VIEs was $3,245.3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$3,369.7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the carrying value for all of the Company’s Affiliates accounted for under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equity method was $2,870.4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$2,936.8 million, respectively, including Affiliates accounted for under the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method considered VREs of $106.8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$166.7 million, respectively.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arrangements more fully described in Note 7, the maximum exposure to loss for all of the Company’s Affiliates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accounted for under the equity method was $3,352.1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$3,536.4 million, respectively, including Affiliates accounted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under the equity method considered VREs of $106.8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$166.7 million, respectively.</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Affiliate-Sponsored Investment Products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Affiliates sponsor various investment products where the Affiliate also acts as the investment adviser.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investment products are typically owned primarily by third-party investors; however, certain products are funded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general partner and seed capital investments from the Company and its Affiliates.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Third-party investors in Affiliate-sponsored investment products are generally entitled to substantially all of the economics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these products, except for the asset- and performance-based fees earned by the Company’s Affiliates or any gains or losses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the Company’s or its Affiliates’ investments in these products.  As a result, the Company generally does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 these products.  However, for certain products, the Company’s consolidated Affiliates, as the investment manager,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the power to direct the activities of the investment product and have an exposure to the economics of the product that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more than insignificant, though generally only for a short period while the product is established and has yet to attract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significant third-party investors.  When the products are consolidated, the Company retains the specialized investment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accounting principles of the underlying products, and all of the underlying investments are carried at fair value in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corresponding changes in the investments’ fair values included in Investment and other income.  Purchases and sales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are included in purchases and sales by consolidated Affiliate-sponsored investment products in the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of Cash Flows, respectively, and the third-party investors’ interests are recorded in Redeemable non-controlling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interests.  When the Company or its consolidated Affiliates no longer control these products, due to a reduction in ownership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reasons, the products are deconsolidated with only the Company’s or its consolidated Affiliate’s investment in the product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reported from the date of deconsolidation.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carrying value and maximum exposure to loss from unconsolidated Affiliate-sponsored investment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products, is its interests in the unconsolidated net assets of the respective products.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These products vary in size from early-stage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products with few initial investors to mature products with a large population of investors.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2026, the Company’s carrying value attributable to Affiliate-sponsored investment products, which are unconsolidated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VIEs, was $88.9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$249.6 million, respectively.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arrangements more fully described in Note 7, the Company’s maximum exposure to loss attributable to Affiliate-sponsored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 products, which are unconsolidated VIEs, was $158.7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$340.8 million, respectively.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6.</w:t>
      </w:r>
      <w:r>
        <w:rPr>
          <w:rFonts w:ascii="Times New Roman;serif" w:hAnsi="Times New Roman;serif"/>
          <w:b/>
          <w:i w:val="false"/>
          <w:caps w:val="false"/>
          <w:smallCaps w:val="false"/>
          <w:strike w:val="false"/>
          <w:dstrike w:val="false"/>
          <w:sz w:val="20"/>
          <w:u w:val="none"/>
          <w:effect w:val="none"/>
        </w:rPr>
        <w:t>Debt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the carrying value of the Company’s outstanding indebtedness and a reconciliation to Debt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presented on the Consolidated Balance Sheets:</w:t>
      </w:r>
    </w:p>
    <w:tbl>
      <w:tblPr>
        <w:tblW w:w="4492" w:type="dxa"/>
        <w:jc w:val="left"/>
        <w:tblInd w:w="0" w:type="dxa"/>
        <w:tblLayout w:type="fixed"/>
        <w:tblCellMar>
          <w:top w:w="28" w:type="dxa"/>
          <w:left w:w="28" w:type="dxa"/>
          <w:bottom w:w="28" w:type="dxa"/>
          <w:right w:w="28" w:type="dxa"/>
        </w:tblCellMar>
      </w:tblPr>
      <w:tblGrid>
        <w:gridCol w:w="2416"/>
        <w:gridCol w:w="1096"/>
        <w:gridCol w:w="109"/>
        <w:gridCol w:w="871"/>
      </w:tblGrid>
      <w:tr>
        <w:trPr/>
        <w:tc>
          <w:tcPr>
            <w:tcW w:w="24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Senior bank debt</w:t>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$650.0</w:t>
            </w:r>
          </w:p>
        </w:tc>
      </w:tr>
      <w:tr>
        <w:trPr/>
        <w:tc>
          <w:tcPr>
            <w:tcW w:w="24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Senior notes</w:t>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1,172.2</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Junior subordinated notes</w:t>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r>
      <w:tr>
        <w:trPr/>
        <w:tc>
          <w:tcPr>
            <w:tcW w:w="24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Junior convertible securities</w:t>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carrying value</w:t>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3,038.3</w:t>
            </w:r>
          </w:p>
        </w:tc>
      </w:tr>
      <w:tr>
        <w:trPr/>
        <w:tc>
          <w:tcPr>
            <w:tcW w:w="24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 issuance costs</w:t>
            </w:r>
          </w:p>
        </w:tc>
        <w:tc>
          <w:tcPr>
            <w:tcW w:w="109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w:t>
            </w:r>
          </w:p>
        </w:tc>
        <w:tc>
          <w:tcPr>
            <w:tcW w:w="10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$3,004.0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debt instruments are carried at amortized cost.  Unamortized discounts and debt issuance costs associated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its debt instruments, with the exception of the Company’s senior unsecured multicurrency revolving credit facility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revolver”), are presented on the Consolidated Balance Sheets as an adjustment to the carrying value of the associated debt.</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Senior Bank Debt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the Company had a</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$1.25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revolver.  The Company amended and restated the revolver in June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extending the maturity from November 15, 2029 to June 9, 2031.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Subject to certain conditions, the Company may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 the commitments under the revolver by up to an additional</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$750.0 million.  The Company pays interest on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obligations under the revolver at a specified rate, currently based either on an applicable term-SOFR, or prime 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plus a marginal rate determined based on its credit rating.  As of December 31, 2025, the Company had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borrowings under the revolver.  As of June 30, 2026, the Company had outstanding borrowings under the revolver of $650.0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the weighted-average interest rate on outstanding borrowings was 4.62%.</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Senior Notes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Company had senior notes outstanding.  The carrying values of the senior notes are accreted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their principal amount at maturity over the remaining life of the underlying instrument.  The principal terms of the senior notes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outstanding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presented and described below:</w:t>
      </w:r>
    </w:p>
    <w:tbl>
      <w:tblPr>
        <w:tblW w:w="6256" w:type="dxa"/>
        <w:jc w:val="left"/>
        <w:tblInd w:w="0" w:type="dxa"/>
        <w:tblLayout w:type="fixed"/>
        <w:tblCellMar>
          <w:top w:w="28" w:type="dxa"/>
          <w:left w:w="28" w:type="dxa"/>
          <w:bottom w:w="28" w:type="dxa"/>
          <w:right w:w="28" w:type="dxa"/>
        </w:tblCellMar>
      </w:tblPr>
      <w:tblGrid>
        <w:gridCol w:w="1921"/>
        <w:gridCol w:w="109"/>
        <w:gridCol w:w="1291"/>
        <w:gridCol w:w="109"/>
        <w:gridCol w:w="1291"/>
        <w:gridCol w:w="109"/>
        <w:gridCol w:w="1426"/>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2036</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Issue date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December 2025</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Maturity date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2036</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Par value (in millions)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$425.0</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Stated coupon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Coupon frequency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Call price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defined</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customary event of default provisions, the indenture governing the senior notes, including the applicable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supplemental indentures with respect to the 2030, 2034, and 2036 senior notes, limits the Company’s ability to consolidate,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merge, or sell all or substantially all of its assets, and requires the Company to make an offer to repurchase the applicable senior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notes at 101%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plus any accrued and unpaid interest thereon to, but not including, the date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repurchase, upon certain change of control triggering events.  The senior notes may be redeemed, in whole or in part, at a make-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whole redemption price (plus accrued and unpaid interest), at any time prior to March 15, 2030, in the case of the 2030 senior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at any time prior to May 20, 2034, in the case of the 2034 senior notes, and at any time prior to November 15, 2035,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case of the 2036 senior notes.  The make-whole redemption price, in each case, is equal to the greater of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principal amount of the notes to be redeemed and the remaining principal and interest payments on the notes being redeemed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(excluding accrued but unpaid interest to, but not including, the redemption date) discounted to their present value as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 date on a semi-annual basis at the applicable Treasury rate plus 0.40%, in the case of the 2030 senior notes,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plus 0.25%, in the case of the 2034 and 2036 senior notes.  In addition, the 2030, 2034, and 2036 senior notes may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redeemed, in whole or in part, at any time, on or after March 15, 2030, May 20, 2034, and November 15, 2035, respectively,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redemption price equal to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of the notes to be redeemed plus accrued and unpaid interest thereon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but not including, the redemption date.</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Junior Subordinated Notes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Company had junior subordinated notes outstanding, the respective principal terms of which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presented and described below:</w:t>
      </w:r>
    </w:p>
    <w:tbl>
      <w:tblPr>
        <w:tblW w:w="9006" w:type="dxa"/>
        <w:jc w:val="left"/>
        <w:tblInd w:w="0" w:type="dxa"/>
        <w:tblLayout w:type="fixed"/>
        <w:tblCellMar>
          <w:top w:w="28" w:type="dxa"/>
          <w:left w:w="28" w:type="dxa"/>
          <w:bottom w:w="28" w:type="dxa"/>
          <w:right w:w="28" w:type="dxa"/>
        </w:tblCellMar>
      </w:tblPr>
      <w:tblGrid>
        <w:gridCol w:w="1921"/>
        <w:gridCol w:w="109"/>
        <w:gridCol w:w="1651"/>
        <w:gridCol w:w="109"/>
        <w:gridCol w:w="1651"/>
        <w:gridCol w:w="109"/>
        <w:gridCol w:w="1651"/>
        <w:gridCol w:w="109"/>
        <w:gridCol w:w="1696"/>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2059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2064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Issue date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July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2024</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Maturity date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2064</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Par value (in millions)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$450.0</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Stated coupon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Coupon frequency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Call price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defined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 defined</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NYSE Symbol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MGRB</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MGRE</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each of the 2059 and the 2060 junior subordinated notes could be redeemed at any time, in whole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part.  The other junior subordinated notes may be redeemed at any time, in whole or in part, on or after September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case of the 2061 junior subordinated notes, and on or after March 30, 2029, in the case of the 2064 junior subordinated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notes.  In each case, the junior subordinated notes may be redeemed at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of the notes being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redeemed, plus any accrued and unpaid interest thereon.  Prior to the applicable redemption date, at the Company’s option,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applicable junior subordinated notes may also be redeemed, in whole but not in part, at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plus 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accrued and unpaid interest, if certain changes in tax laws, regulations, or interpretations occur; or at 102%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 plus any accrued and unpaid interest, if a rating agency makes certain changes relating to the equity credit criteria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securities with features similar to the applicable notes.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may, at its option, and subject to certain conditions and restrictions, defer interest payments subject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terms of the junior subordinated notes.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Junior Convertible Securities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December 8, 2025, the Company delivered notice that it had elected to redeem all of its outstanding 5.15%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junior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convertible trust preferred securities (the “junior convertible securities”) on December 29, 2025 (the “Redemption Date”),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announced its intention to settle any and all conversion obligations in cash.  Substantially all holders of the junior convertible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delivered requests to convert their securities prior to the Redemption Date.  On December 15, 2025 (the “Election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Date”), the Company made an irrevocable election to settle its conversion obligations in cash by reference to the daily volume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weighted average price of the Company’s common stock during each applicable ten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trading day conversion reference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conversions resulted in a settlement value in excess of the associated carrying value (the “conversion premium”).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 the conversion premium of $155.5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recorded within Other liabilities, with a corresponding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reduction to Additional paid-in capital.  In addition, the conversion resulted in a reduction to Deferred tax liability (net) 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Balance Sheets of $38.9 million, with a corresponding increase to Additional paid-in capital.  The Company’s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election to settle each applicable conversion premium in cash using a ten-day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reference period was accounted for as a forward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sale contract, which resulted in a $9.2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 recorded in Other expenses (net), in the fourth quarter of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the Redemption Date, the Company redeemed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junior convertible securities which were not converted,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reflecting the principal amount of the redeemed securities, plus accrued and unpaid interest, up to, but not including,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Redemption Date.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January 2026, the Company settled each of its applicable conversion obligations in cash for an aggregate amount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$514.6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which resulted in an incremental expense related to the forward sale contract of $9.3 million.  The junior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convertible securities were considered contingent payment debt instruments under federal income tax regulations,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required the Company to deduct interest in an amount greater than its reported interest expense (“excess interest expense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deductions”). As a result of the settlement of these securities, the Company incurred a current cash tax liability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$56 million, reflective of the recapture of excess interest expense deductions.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Prior to their redemption by the Company or requests for conversion by the holders, as applicable and described above,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junior convertible securities bore interest at a rate of 5.15%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annum, which interest payments were payable quarterly in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2025, the Company recorded interest expense of $4.5 million, in connection with the junior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convertible securities, including contractual interest expense and amortization of debt issuance costs of $4.4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$0.1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respectively.  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2025, the Company recorded interest expense of $8.9 million,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connection with the junior convertible securities,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including contractual interest expense and amortization of debt issuance costs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$0.1 million, respectively.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2025, the effective interest rate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5.21%.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7.</w:t>
      </w:r>
      <w:r>
        <w:rPr>
          <w:rFonts w:ascii="Times New Roman;serif" w:hAnsi="Times New Roman;serif"/>
          <w:b/>
          <w:i w:val="false"/>
          <w:caps w:val="false"/>
          <w:smallCaps w:val="false"/>
          <w:strike w:val="false"/>
          <w:dstrike w:val="false"/>
          <w:sz w:val="20"/>
          <w:u w:val="none"/>
          <w:effect w:val="none"/>
        </w:rPr>
        <w:t>Commitments and Contingencies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time to time, the Company and its Affiliates may be subject to claims, legal proceedings, and other contingencies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ordinary course of their business activities.  Any such matters are subject to various uncertainties, and it is possible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some of these matters may be resolved in a manner unfavorable to the Company or its Affiliates.  The Company and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 establish accruals, as necessary, for matters for which the outcome is probable and the amount of the liability can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reasonably estimated.  For matters for which the outcome is probable but not reasonably estimable or where the outcome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reasonably possible but not probable, the Company provides disclosure related to such matters, as necessary.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committed to co-invest in certain Affiliate-sponsored investment products.  As of June 30, 2026, these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unfunded commitments were $410.5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may be called in future periods.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Company was contingently liable to make payments in connection with an investment in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Affiliate, which are included in Other liabilities. The Company is contingently liable to make maximum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contingent payments of up to $100.0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($24.9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attributable to a co-investor).  The fair value of the contingent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payment obligation was $0.0 million. The final measurement date of the contingent payment obligation was in July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the Company was obligated to make deferred payments of $84.0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certain of its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investments in Affiliates accounted for under the equity method, of which $55.4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payable during the remainder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and $28.6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payable in 2027.  Deferred payment obligations are included in Other liabilities.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 the Company was contingently liable to make payments of $569.6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achievement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specified financial targets by certain of its Affiliates accounted for under the equity method, of which $0.0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may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become payable during the remainder of 2026, $360.1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may become payable in 2027, $35.1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may become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payable in 2028,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$39.9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may become payable in each of 2029 and 2030, and $94.6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may become payable in 2031.</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Company was committed to provide one of its Affiliates accounted for under the equity method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guarantee related to a credit facility used to fund a portion of the Affiliate’s commitments to certain of its investment products.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believes the likelihood of being required to fund its guarantee under this arrangement to be remote.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maximum amount of payments the Company could be required to make was $30.0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the fair value of the guarantee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liability was $0.0 million.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interests provide holders at consolidated Affiliates with a conditional right to put their interests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 over time.  See Note 12.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and certain of its consolidated Affiliates operate under regulatory authorities that require the maintenance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minimum financial or capital requirements.  The Company’s management is not aware of any significant violations of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requirements.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8.</w:t>
      </w:r>
      <w:r>
        <w:rPr>
          <w:rFonts w:ascii="Times New Roman;serif" w:hAnsi="Times New Roman;serif"/>
          <w:b/>
          <w:i w:val="false"/>
          <w:caps w:val="false"/>
          <w:smallCaps w:val="false"/>
          <w:strike w:val="false"/>
          <w:dstrike w:val="false"/>
          <w:sz w:val="20"/>
          <w:u w:val="none"/>
          <w:effect w:val="none"/>
        </w:rPr>
        <w:t>Goodwill and Acquired Client Relationships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the Company’s Goodwill:</w:t>
      </w:r>
    </w:p>
    <w:tbl>
      <w:tblPr>
        <w:tblW w:w="3846" w:type="dxa"/>
        <w:jc w:val="left"/>
        <w:tblInd w:w="0" w:type="dxa"/>
        <w:tblLayout w:type="fixed"/>
        <w:tblCellMar>
          <w:top w:w="28" w:type="dxa"/>
          <w:left w:w="28" w:type="dxa"/>
          <w:bottom w:w="28" w:type="dxa"/>
          <w:right w:w="28" w:type="dxa"/>
        </w:tblCellMar>
      </w:tblPr>
      <w:tblGrid>
        <w:gridCol w:w="2866"/>
        <w:gridCol w:w="109"/>
        <w:gridCol w:w="871"/>
      </w:tblGrid>
      <w:tr>
        <w:trPr/>
        <w:tc>
          <w:tcPr>
            <w:tcW w:w="2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Goodwill</w:t>
            </w:r>
          </w:p>
        </w:tc>
      </w:tr>
      <w:tr>
        <w:trPr/>
        <w:tc>
          <w:tcPr>
            <w:tcW w:w="28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as of December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$2,531.2</w:t>
            </w:r>
          </w:p>
        </w:tc>
      </w:tr>
      <w:tr>
        <w:trPr/>
        <w:tc>
          <w:tcPr>
            <w:tcW w:w="28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Affiliate transactions</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r>
      <w:tr>
        <w:trPr/>
        <w:tc>
          <w:tcPr>
            <w:tcW w:w="28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w:t>
            </w:r>
          </w:p>
        </w:tc>
      </w:tr>
      <w:tr>
        <w:trPr/>
        <w:tc>
          <w:tcPr>
            <w:tcW w:w="28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as of June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$2,511.6</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Represents goodwill attributable to the myCIO Transaction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the closing date, including $1.7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attributable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non-controlling interests.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the Company’s components of Acquired client relationships (net):</w:t>
      </w:r>
    </w:p>
    <w:tbl>
      <w:tblPr>
        <w:tblW w:w="9352" w:type="dxa"/>
        <w:jc w:val="left"/>
        <w:tblInd w:w="0" w:type="dxa"/>
        <w:tblLayout w:type="fixed"/>
        <w:tblCellMar>
          <w:top w:w="28" w:type="dxa"/>
          <w:left w:w="28" w:type="dxa"/>
          <w:bottom w:w="28" w:type="dxa"/>
          <w:right w:w="28" w:type="dxa"/>
        </w:tblCellMar>
      </w:tblPr>
      <w:tblGrid>
        <w:gridCol w:w="3436"/>
        <w:gridCol w:w="1246"/>
        <w:gridCol w:w="109"/>
        <w:gridCol w:w="1081"/>
        <w:gridCol w:w="109"/>
        <w:gridCol w:w="1081"/>
        <w:gridCol w:w="109"/>
        <w:gridCol w:w="1201"/>
        <w:gridCol w:w="109"/>
        <w:gridCol w:w="871"/>
      </w:tblGrid>
      <w:tr>
        <w:trPr/>
        <w:tc>
          <w:tcPr>
            <w:tcW w:w="34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591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Acquired Client Relationships (Net)</w:t>
            </w:r>
          </w:p>
        </w:tc>
      </w:tr>
      <w:tr>
        <w:trPr/>
        <w:tc>
          <w:tcPr>
            <w:tcW w:w="34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62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Definite-lived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Indefinite-lived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4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Gross 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as of December 31, 2025</w:t>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$1,639.3</w:t>
            </w:r>
          </w:p>
        </w:tc>
      </w:tr>
      <w:tr>
        <w:trPr/>
        <w:tc>
          <w:tcPr>
            <w:tcW w:w="34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Affiliate transactions</w:t>
            </w:r>
            <w:r>
              <w:rPr>
                <w:rFonts w:ascii="Times New Roman;serif" w:hAnsi="Times New Roman;serif"/>
                <w:b w:val="false"/>
                <w:i w:val="false"/>
                <w:caps w:val="false"/>
                <w:smallCaps w:val="false"/>
                <w:sz w:val="10"/>
              </w:rPr>
              <w:t>(1)</w:t>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p>
        </w:tc>
        <w:tc>
          <w:tcPr>
            <w:tcW w:w="12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(56.5)</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r>
      <w:tr>
        <w:trPr/>
        <w:tc>
          <w:tcPr>
            <w:tcW w:w="34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Transfers</w:t>
            </w:r>
            <w:r>
              <w:rPr>
                <w:rFonts w:ascii="Times New Roman;serif" w:hAnsi="Times New Roman;serif"/>
                <w:b w:val="false"/>
                <w:i w:val="false"/>
                <w:caps w:val="false"/>
                <w:smallCaps w:val="false"/>
                <w:sz w:val="10"/>
              </w:rPr>
              <w:t>(2)</w:t>
            </w:r>
          </w:p>
        </w:tc>
        <w:tc>
          <w:tcPr>
            <w:tcW w:w="12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as of June 30, 2026</w:t>
            </w:r>
          </w:p>
        </w:tc>
        <w:tc>
          <w:tcPr>
            <w:tcW w:w="12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$1,577.6</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Represents acquired client relationships attributable to the myCIO Transaction as of the closing date, including $0.4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attributable to the non-controlling interests.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In 2026, transfers reflect the reclassification of indefinite-lived relationships to definite-lived relationships.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Definite-lived acquired client relationships at the Company’s consolidated Affiliates are amortized over their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of economic benefit.  The Company recorded amortization expense in Intangible amortization and impairments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Statements of Income for these relationships of $6.3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$12.6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 respectively and $7.2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on relationships existing as of June 30, 2026, the Company estimates that its consolidated amortization expense will be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approximately $15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during the remainder of 2026, approximately $25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each of 2027 and 2028, approximately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approximately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each of 2030 and 2031.</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2025, the Company completed an impairment assessment of the indefinite-lived acquired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relationships for certain mutual fund assets and determined that the fair value of the assets had declined below their carrying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values.  Accordingly, the Company recorded an expense in Intangible amortization and impairments of $59.2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attributable to the controlling interest ($70.0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aggregate) to reduce the carrying value of the assets to fair value.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decline in the fair value was a result of current and projected declines in assets under management that decreased the forecasted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associated with the assets.  The most relevant assumptions used in these analyses were revenue growth rates over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next five years ranging from (21)%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 long-term revenue growth rates of 0%, and discount rates of 11.0%.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2025, the Company also recorded an expense in Intangible amortization and impairments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attributable to the controlling interest ($7.0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aggregate) to reduce the carrying value of an indefinite-lived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acquired client relationship to zero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due to the closure of one of its Affiliate’s mutual fund products.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2026, the Company completed an impairment assessment of the indefinite-lived acquired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relationships for certain mutual fund assets, and determined that the fair value of an asset had declined below its carrying value.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Accordingly, the Company recorded an expense in Intangible amortization and impairments of $30.5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attributable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controlling interest ($43.0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aggregate) to reduce the carrying value of the asset to fair value.  The decline in the fair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was primarily the result of current and projected declines in assets under management and the related reduction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revenue associated with the asset.  The most relevant assumptions used in this analysis related to the projected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trajectory of assets under management and associated revenue, as well as a discount rate of 10.5%.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June 2026, myCIO Wealth Partners, LLC (“myCIO”) completed the divestiture of an advisor team (the “myCIO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Transaction”) that managed $5.6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client assets.  Pursuant to the terms of the agreement, the Company received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consideration of $24.5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its controlling interest portion of the divestiture, and may, in the future, receive additional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cash consideration.  The Company’s gain from the transaction was $14.6 million, which is recorded in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 gains on the Consolidated Statements of Income, and was taxable at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9.</w:t>
      </w:r>
      <w:r>
        <w:rPr>
          <w:rFonts w:ascii="Times New Roman;serif" w:hAnsi="Times New Roman;serif"/>
          <w:b/>
          <w:i w:val="false"/>
          <w:caps w:val="false"/>
          <w:smallCaps w:val="false"/>
          <w:strike w:val="false"/>
          <w:dstrike w:val="false"/>
          <w:sz w:val="20"/>
          <w:u w:val="none"/>
          <w:effect w:val="none"/>
        </w:rPr>
        <w:t>Equity Method Investments in Affiliates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Certain of the Company’s investments in Affiliates are accounted for under the equity method.  The Company had 22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Affiliates accounted for under the equity method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respectively.  The majority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Affiliates are partnerships with structured interests that define how the Company will participate in Affiliate earnings,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typically based upon a fixed percentage of the Affiliate’s revenue less agreed-upon expenses.  The partnership agreements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generally do not define a fixed percentage for the Company’s ownership of the equity of the Affiliate.  These percentages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would be subject to a separate future negotiation if an Affiliate were to be sold or liquidated.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financial results of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 accounted for under the equity method are recognized in the Consolidated Financial Statements one quarter in arrears.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determined that one of its Affiliates accounted for under the equity method is significant under Rule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10-01(b)(1) of Regulation S-X.  For the six 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this Affiliate recognized revenue of $403.6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$901.0 million, respectively, and net income of $198.0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$642.8 million,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Equity method investments in Affiliates (net):</w:t>
      </w:r>
    </w:p>
    <w:tbl>
      <w:tblPr>
        <w:tblW w:w="4712" w:type="dxa"/>
        <w:jc w:val="left"/>
        <w:tblInd w:w="0" w:type="dxa"/>
        <w:tblLayout w:type="fixed"/>
        <w:tblCellMar>
          <w:top w:w="28" w:type="dxa"/>
          <w:left w:w="28" w:type="dxa"/>
          <w:bottom w:w="28" w:type="dxa"/>
          <w:right w:w="28" w:type="dxa"/>
        </w:tblCellMar>
      </w:tblPr>
      <w:tblGrid>
        <w:gridCol w:w="3436"/>
        <w:gridCol w:w="1276"/>
      </w:tblGrid>
      <w:tr>
        <w:trPr/>
        <w:tc>
          <w:tcPr>
            <w:tcW w:w="34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12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Equity Method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Investments 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Affiliates (Net)</w:t>
            </w:r>
          </w:p>
        </w:tc>
      </w:tr>
      <w:tr>
        <w:trPr/>
        <w:tc>
          <w:tcPr>
            <w:tcW w:w="34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Balance, as of December 31, 2025</w:t>
            </w:r>
            <w:r>
              <w:rPr>
                <w:rFonts w:ascii="Times New Roman;serif" w:hAnsi="Times New Roman;serif"/>
                <w:b w:val="false"/>
                <w:i w:val="false"/>
                <w:caps w:val="false"/>
                <w:smallCaps w:val="false"/>
                <w:sz w:val="10"/>
              </w:rPr>
              <w:t>(1)</w:t>
            </w:r>
          </w:p>
        </w:tc>
        <w:tc>
          <w:tcPr>
            <w:tcW w:w="12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$2,870.4</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Investments in Affiliates</w:t>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246.9</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Earnings, net of tax</w:t>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336.1</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(63.9)</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Distributions of earnings </w:t>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(465.9)</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Return of capital</w:t>
            </w:r>
          </w:p>
        </w:tc>
        <w:tc>
          <w:tcPr>
            <w:tcW w:w="12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p>
        </w:tc>
        <w:tc>
          <w:tcPr>
            <w:tcW w:w="12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w:t>
            </w:r>
          </w:p>
        </w:tc>
        <w:tc>
          <w:tcPr>
            <w:tcW w:w="12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30.1</w:t>
            </w:r>
          </w:p>
        </w:tc>
      </w:tr>
      <w:tr>
        <w:trPr/>
        <w:tc>
          <w:tcPr>
            <w:tcW w:w="34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Balance, as of June 30, 2026</w:t>
            </w:r>
            <w:r>
              <w:rPr>
                <w:rFonts w:ascii="Times New Roman;serif" w:hAnsi="Times New Roman;serif"/>
                <w:b w:val="false"/>
                <w:i w:val="false"/>
                <w:caps w:val="false"/>
                <w:smallCaps w:val="false"/>
                <w:sz w:val="10"/>
              </w:rPr>
              <w:t>(1)</w:t>
            </w:r>
          </w:p>
        </w:tc>
        <w:tc>
          <w:tcPr>
            <w:tcW w:w="12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$2,936.8</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6"/>
          <w:u w:val="none"/>
          <w:effect w:val="none"/>
        </w:rPr>
        <w:t>_______________________</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Includes undistributed earnings of $280.4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$145.8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2026, the Company completed its agreement with Brown Brothers Harriman (“BBH”) to acquire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minority equity interest in BBH Credit Partners, BBH’s taxable fixed income and credit franchise, its additional minority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in Garda Capital Partners LP (“Garda”), a liquid alternatives manager specializing in fixed income relative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strategies and an Affiliate since 2019, and its minority investment in HighBrook Investors (“HighBrook”), a private markets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manager specializing in real estate assets.  The majority of the consideration paid for Garda and a portion of the consideration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paid for HighBrook</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will be deductible for U.S. tax purposes over a 15-year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life.  Following the close of the transaction,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Company’s investment in Garda continues to be accounted for under the equity method.  The Company’s preliminary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purchase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price allocations for each investment were measured using discounted cash flow analyses that included assumptions of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 performance, net client cash flows, and discount rates.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Definite-lived acquired client relationships at the Company’s Affiliates accounted for under the equity method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amortized over their expected period of economic benefit.  The Company recorded amortization expense for these relationships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$27.0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$45.6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 respectively, and $29.2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$55.9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 respectively.  Based on relationships existing as of June 30,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estimates the amortization expense attributable to its Affiliates will be approximately $60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remainder of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approximately $115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2027, approximately $105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2028, and approximately $90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each of 2029, 2030, and 2031.</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first quarter of 2026, the Company recorded an $8.0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 to reduce the carrying value of an Affiliate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fair value based on market indicators that its fair value had declined below its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10.</w:t>
      </w:r>
      <w:r>
        <w:rPr>
          <w:rFonts w:ascii="Times New Roman;serif" w:hAnsi="Times New Roman;serif"/>
          <w:b/>
          <w:i w:val="false"/>
          <w:caps w:val="false"/>
          <w:smallCaps w:val="false"/>
          <w:strike w:val="false"/>
          <w:dstrike w:val="false"/>
          <w:sz w:val="20"/>
          <w:u w:val="none"/>
          <w:effect w:val="none"/>
        </w:rPr>
        <w:t>Related Party Transactions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related party transactions in association with its deferred and contingent payment obligations,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Affiliate equity transactions, as more fully described in Notes 7, 11, and 12.</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time to time, certain funds of the Company’s consolidated Affiliates may make tax distributions to partners subject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clawback.  The total receivable was $68.6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$62.3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was included in Other assets on the Consolidated Balance Sheets.  The total payable was $99.3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$86.0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respectively, and was included in Other liabilities.  These amounts were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attributable to the non-controlling interests.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prior owner of one of the Company’s consolidated Affiliates retains interests in certain of the Affiliate’s private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partnerships and, as a result, is a related party of the Company.  The prior owner’s interests are included in Other liabilities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were $11.7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$7.6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June 30, 2026,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may invest from time to time in funds or products advised by its Affiliates.  The Company’s executive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officers and directors may invest from time to time in funds advised or products offered by its Affiliates, or receive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services provided by its Affiliates, on substantially the same terms as other participating investors.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its Affiliates earn asset- and performance-based fees and incur distribution and other expenses for services provided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Affiliate-sponsored investment products.  In addition, the Company and its Affiliates earn fees or incur expenses related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efforts to develop and distribute Affiliate products.  Affiliate management owners and the Company’s officers may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serve as trustees or directors of certain investment vehicles from which the Company or an Affiliate earns fees.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time to time, the Company may enter into ordinary course engagements for capital markets, banking, brokerage,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services with beneficial owners of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more of the Company’s voting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11.</w:t>
      </w:r>
      <w:r>
        <w:rPr>
          <w:rFonts w:ascii="Times New Roman;serif" w:hAnsi="Times New Roman;serif"/>
          <w:b/>
          <w:i w:val="false"/>
          <w:caps w:val="false"/>
          <w:smallCaps w:val="false"/>
          <w:strike w:val="false"/>
          <w:dstrike w:val="false"/>
          <w:sz w:val="20"/>
          <w:u w:val="none"/>
          <w:effect w:val="none"/>
        </w:rPr>
        <w:t>Redeemable Non-Controlling Interests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interests provide holders with an equity interest in one of the Company’s consolidated Affiliates, consistent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the structured partnership interests in place at the respective Affiliate.  Affiliate equity holders generally have a conditional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right to put their interests to the Company at certain intervals (between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15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the date the equity interest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received by the Affiliate equity holder or on an annual basis following an Affiliate equity holder’s departure).  Prior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becoming redeemable, the Company’s Affiliate equity is included in Non-controlling interests.  Upon becoming redeemable,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interests are reclassified to Redeemable non-controlling interests at their current redemption values.  Changes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current redemption value are recorded to Additional paid-in capital.  When the Company has an unconditional obligation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 Affiliate equity interests, the interests are reclassified from Redeemable non-controlling interests to Other liabilities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current fair value.  Changes in fair value are recorded to Other expenses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Redeemable non-controlling interests:</w:t>
      </w:r>
    </w:p>
    <w:tbl>
      <w:tblPr>
        <w:tblW w:w="7836" w:type="dxa"/>
        <w:jc w:val="left"/>
        <w:tblInd w:w="0" w:type="dxa"/>
        <w:tblLayout w:type="fixed"/>
        <w:tblCellMar>
          <w:top w:w="28" w:type="dxa"/>
          <w:left w:w="28" w:type="dxa"/>
          <w:bottom w:w="28" w:type="dxa"/>
          <w:right w:w="28" w:type="dxa"/>
        </w:tblCellMar>
      </w:tblPr>
      <w:tblGrid>
        <w:gridCol w:w="6376"/>
        <w:gridCol w:w="109"/>
        <w:gridCol w:w="1351"/>
      </w:tblGrid>
      <w:tr>
        <w:trPr/>
        <w:tc>
          <w:tcPr>
            <w:tcW w:w="6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6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Redeemable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r>
      <w:tr>
        <w:trPr/>
        <w:tc>
          <w:tcPr>
            <w:tcW w:w="637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Balance, as of December 31, 2025</w:t>
            </w:r>
            <w:r>
              <w:rPr>
                <w:rFonts w:ascii="Times New Roman;serif" w:hAnsi="Times New Roman;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$246.8</w:t>
            </w:r>
          </w:p>
        </w:tc>
      </w:tr>
      <w:tr>
        <w:trPr/>
        <w:tc>
          <w:tcPr>
            <w:tcW w:w="6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Increase attributable to consolidated Affiliate-sponsored investment products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r>
      <w:tr>
        <w:trPr/>
        <w:tc>
          <w:tcPr>
            <w:tcW w:w="6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Transfers to 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w:t>
            </w:r>
          </w:p>
        </w:tc>
      </w:tr>
      <w:tr>
        <w:trPr/>
        <w:tc>
          <w:tcPr>
            <w:tcW w:w="6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Changes in redemption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w:t>
            </w:r>
          </w:p>
        </w:tc>
      </w:tr>
      <w:tr>
        <w:trPr/>
        <w:tc>
          <w:tcPr>
            <w:tcW w:w="637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Balance, as of June 30, 2026</w:t>
            </w:r>
            <w:r>
              <w:rPr>
                <w:rFonts w:ascii="Times New Roman;serif" w:hAnsi="Times New Roman;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$270.2</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June 30, 2026, Redeemable non-controlling interests includes consolidated Affiliate-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sponsored investment products primarily attributable to third-party investors of $32.2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$32.9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12.</w:t>
      </w:r>
      <w:r>
        <w:rPr>
          <w:rFonts w:ascii="Times New Roman;serif" w:hAnsi="Times New Roman;serif"/>
          <w:b/>
          <w:i w:val="false"/>
          <w:caps w:val="false"/>
          <w:smallCaps w:val="false"/>
          <w:strike w:val="false"/>
          <w:dstrike w:val="false"/>
          <w:sz w:val="20"/>
          <w:u w:val="none"/>
          <w:effect w:val="none"/>
        </w:rPr>
        <w:t>Affiliate Equity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interests are allocated income in a manner that is consistent with the structured partnership interests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place at the respective Affiliate.  The Company’s consolidated Affiliates generally pay quarterly distributions to Affiliate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holders.  Distributions paid to non-controlling interest Affiliate equity holders were $149.7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$146.3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2026,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periodically purchases Affiliate equity from and issues Affiliate equity to the Company’s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partners and other parties under agreements that provide the Company a conditional right to call and Affiliate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holders the conditional right to put their Affiliate equity interests to the Company at certain intervals.  The Company has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 to settle a portion of these purchases in shares of its common stock.  For Affiliates accounted for under the equity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does not typically have such put and call arrangements.  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amount of cash paid for purchases was $42.9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$60.9 million, respectively.  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2026, the total amount of cash received for issuances was $1.8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$4.2 million,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and purchases of Affiliate equity generally occur at fair value; however, the Company also grants Affiliate equity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consolidated Affiliate partners and other parties as a form of compensation.  If the equity is issued for consideration below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the equity, or purchased for consideration above the fair value of the equity, the difference is recorded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compensation expense in Compensation and related expenses over the requisite service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Affiliate equity expense:</w:t>
      </w:r>
    </w:p>
    <w:tbl>
      <w:tblPr>
        <w:tblW w:w="5598" w:type="dxa"/>
        <w:jc w:val="left"/>
        <w:tblInd w:w="0" w:type="dxa"/>
        <w:tblLayout w:type="fixed"/>
        <w:tblCellMar>
          <w:top w:w="28" w:type="dxa"/>
          <w:left w:w="28" w:type="dxa"/>
          <w:bottom w:w="28" w:type="dxa"/>
          <w:right w:w="28" w:type="dxa"/>
        </w:tblCellMar>
      </w:tblPr>
      <w:tblGrid>
        <w:gridCol w:w="2161"/>
        <w:gridCol w:w="794"/>
        <w:gridCol w:w="151"/>
        <w:gridCol w:w="794"/>
        <w:gridCol w:w="109"/>
        <w:gridCol w:w="700"/>
        <w:gridCol w:w="133"/>
        <w:gridCol w:w="756"/>
      </w:tblGrid>
      <w:tr>
        <w:trPr/>
        <w:tc>
          <w:tcPr>
            <w:tcW w:w="21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2161" w:type="dxa"/>
            <w:tcBorders/>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21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Controlling interest</w:t>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$52.1</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$48.4</w:t>
            </w:r>
          </w:p>
        </w:tc>
      </w:tr>
      <w:tr>
        <w:trPr/>
        <w:tc>
          <w:tcPr>
            <w:tcW w:w="21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Non-controlling interests</w:t>
            </w:r>
          </w:p>
        </w:tc>
        <w:tc>
          <w:tcPr>
            <w:tcW w:w="79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w:t>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w:t>
            </w:r>
          </w:p>
        </w:tc>
        <w:tc>
          <w:tcPr>
            <w:tcW w:w="133" w:type="dxa"/>
            <w:tcBorders/>
            <w:shd w:fill="FFFFFF" w:val="clear"/>
            <w:vAlign w:val="center"/>
          </w:tcPr>
          <w:p>
            <w:pPr>
              <w:pStyle w:val="TableContents"/>
              <w:bidi w:val="0"/>
              <w:spacing w:before="0" w:after="283"/>
              <w:jc w:val="left"/>
              <w:rPr>
                <w:sz w:val="4"/>
                <w:szCs w:val="4"/>
              </w:rPr>
            </w:pPr>
            <w:r>
              <w:rPr>
                <w:sz w:val="4"/>
                <w:szCs w:val="4"/>
              </w:rPr>
            </w:r>
          </w:p>
        </w:tc>
        <w:tc>
          <w:tcPr>
            <w:tcW w:w="7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18.3</w:t>
            </w:r>
          </w:p>
        </w:tc>
      </w:tr>
      <w:tr>
        <w:trPr/>
        <w:tc>
          <w:tcPr>
            <w:tcW w:w="21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Total </w:t>
            </w:r>
          </w:p>
        </w:tc>
        <w:tc>
          <w:tcPr>
            <w:tcW w:w="7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$57.7</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$70.6</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second quarter of 2025, the terms of certain equity awards at an Affiliate were modified.  The modification included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mandatory repurchase provision upon termination of employment that changed the awards classification from equity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liability.  As a result, for the three and six months ended June 30, 2025, the Company recorded incremental Affiliate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 of $30.5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attributable to the controlling interest.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unrecognized Affiliate equity expense:</w:t>
      </w:r>
    </w:p>
    <w:tbl>
      <w:tblPr>
        <w:tblW w:w="6797" w:type="dxa"/>
        <w:jc w:val="left"/>
        <w:tblInd w:w="0" w:type="dxa"/>
        <w:tblLayout w:type="fixed"/>
        <w:tblCellMar>
          <w:top w:w="28" w:type="dxa"/>
          <w:left w:w="28" w:type="dxa"/>
          <w:bottom w:w="28" w:type="dxa"/>
          <w:right w:w="28" w:type="dxa"/>
        </w:tblCellMar>
      </w:tblPr>
      <w:tblGrid>
        <w:gridCol w:w="1696"/>
        <w:gridCol w:w="991"/>
        <w:gridCol w:w="109"/>
        <w:gridCol w:w="1216"/>
        <w:gridCol w:w="109"/>
        <w:gridCol w:w="1306"/>
        <w:gridCol w:w="109"/>
        <w:gridCol w:w="1261"/>
      </w:tblGrid>
      <w:tr>
        <w:trPr/>
        <w:tc>
          <w:tcPr>
            <w:tcW w:w="169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Remaining Life</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Remaining Life</w:t>
            </w:r>
          </w:p>
        </w:tc>
      </w:tr>
      <w:tr>
        <w:trPr/>
        <w:tc>
          <w:tcPr>
            <w:tcW w:w="1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December 31, 2025</w:t>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 years</w:t>
            </w:r>
          </w:p>
        </w:tc>
      </w:tr>
      <w:tr>
        <w:trPr/>
        <w:tc>
          <w:tcPr>
            <w:tcW w:w="16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30, 2026</w:t>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 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 years</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records amounts receivable from, and payable to, Affiliate equity holders in connection with the transfer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Affiliate equity interests that have not settled at the end of the period.  The total receivable was $4.7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June 30, 2026, respectively, and was included in Other assets.  The total payable was $161.2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$200.4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June 30, 2026, respectively, and was included in Other liabilities.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Effects of Changes in the Company’s Ownership in Affiliates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periodically acquires interests from, and transfers interests to, Affiliate equity holders.  Because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do not result in a change of control, any gain or loss related to these transactions is recorded to Additional paid-in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capital, which increases or decreases the controlling interest’s equity.  No gain or loss related to these transactions is recorded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Consolidated Statements of Income or the Consolidated Statements of Comprehensive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While the Company presents the current redemption value of Affiliate equity within Redeemable non-controlling interests,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changes in the current redemption value increasing or decreasing the controlling interest’s equity over time, the following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table presents the cumulative effect that ownership changes had on the controlling interest’s equity related only to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equity transactions that occurred during the applicable periods:</w:t>
      </w:r>
    </w:p>
    <w:tbl>
      <w:tblPr>
        <w:tblW w:w="9799" w:type="dxa"/>
        <w:jc w:val="left"/>
        <w:tblInd w:w="0" w:type="dxa"/>
        <w:tblLayout w:type="fixed"/>
        <w:tblCellMar>
          <w:top w:w="28" w:type="dxa"/>
          <w:left w:w="28" w:type="dxa"/>
          <w:bottom w:w="28" w:type="dxa"/>
          <w:right w:w="28" w:type="dxa"/>
        </w:tblCellMar>
      </w:tblPr>
      <w:tblGrid>
        <w:gridCol w:w="6361"/>
        <w:gridCol w:w="805"/>
        <w:gridCol w:w="129"/>
        <w:gridCol w:w="805"/>
        <w:gridCol w:w="109"/>
        <w:gridCol w:w="714"/>
        <w:gridCol w:w="115"/>
        <w:gridCol w:w="761"/>
      </w:tblGrid>
      <w:tr>
        <w:trPr/>
        <w:tc>
          <w:tcPr>
            <w:tcW w:w="636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6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636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63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$296.3</w:t>
            </w:r>
          </w:p>
        </w:tc>
      </w:tr>
      <w:tr>
        <w:trPr/>
        <w:tc>
          <w:tcPr>
            <w:tcW w:w="63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(Decrease) increase in controlling interest paid-in capital from Affiliate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issuances</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w:t>
            </w:r>
          </w:p>
        </w:tc>
      </w:tr>
      <w:tr>
        <w:trPr/>
        <w:tc>
          <w:tcPr>
            <w:tcW w:w="63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Increase (decrease) in controlling interest paid-in capital from Affiliate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purchases</w:t>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w:t>
            </w:r>
          </w:p>
        </w:tc>
      </w:tr>
      <w:tr>
        <w:trPr/>
        <w:tc>
          <w:tcPr>
            <w:tcW w:w="63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income (controlling interest) including the net impact of Affiliate equity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transactions</w:t>
            </w:r>
          </w:p>
        </w:tc>
        <w:tc>
          <w:tcPr>
            <w:tcW w:w="80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$104.8</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$165.5</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13.</w:t>
      </w:r>
      <w:r>
        <w:rPr>
          <w:rFonts w:ascii="Times New Roman;serif" w:hAnsi="Times New Roman;serif"/>
          <w:b/>
          <w:i w:val="false"/>
          <w:caps w:val="false"/>
          <w:smallCaps w:val="false"/>
          <w:strike w:val="false"/>
          <w:dstrike w:val="false"/>
          <w:sz w:val="20"/>
          <w:u w:val="none"/>
          <w:effect w:val="none"/>
        </w:rPr>
        <w:t>Share-Based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following table presents share-based compensation expense:</w:t>
      </w:r>
    </w:p>
    <w:tbl>
      <w:tblPr>
        <w:tblW w:w="6423" w:type="dxa"/>
        <w:jc w:val="left"/>
        <w:tblInd w:w="0" w:type="dxa"/>
        <w:tblLayout w:type="fixed"/>
        <w:tblCellMar>
          <w:top w:w="28" w:type="dxa"/>
          <w:left w:w="28" w:type="dxa"/>
          <w:bottom w:w="28" w:type="dxa"/>
          <w:right w:w="28" w:type="dxa"/>
        </w:tblCellMar>
      </w:tblPr>
      <w:tblGrid>
        <w:gridCol w:w="2986"/>
        <w:gridCol w:w="794"/>
        <w:gridCol w:w="151"/>
        <w:gridCol w:w="794"/>
        <w:gridCol w:w="109"/>
        <w:gridCol w:w="700"/>
        <w:gridCol w:w="133"/>
        <w:gridCol w:w="756"/>
      </w:tblGrid>
      <w:tr>
        <w:trPr/>
        <w:tc>
          <w:tcPr>
            <w:tcW w:w="29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2986" w:type="dxa"/>
            <w:tcBorders/>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29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Share-based compensation expense</w:t>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$21.7</w:t>
            </w:r>
          </w:p>
        </w:tc>
        <w:tc>
          <w:tcPr>
            <w:tcW w:w="133" w:type="dxa"/>
            <w:tcBorders/>
            <w:shd w:fill="CCEEFF" w:val="clear"/>
            <w:vAlign w:val="center"/>
          </w:tcPr>
          <w:p>
            <w:pPr>
              <w:pStyle w:val="TableContents"/>
              <w:bidi w:val="0"/>
              <w:spacing w:before="0" w:after="283"/>
              <w:jc w:val="left"/>
              <w:rPr>
                <w:sz w:val="4"/>
                <w:szCs w:val="4"/>
              </w:rPr>
            </w:pPr>
            <w:r>
              <w:rPr>
                <w:sz w:val="4"/>
                <w:szCs w:val="4"/>
              </w:rPr>
            </w:r>
          </w:p>
        </w:tc>
        <w:tc>
          <w:tcPr>
            <w:tcW w:w="7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w:t>
            </w:r>
          </w:p>
        </w:tc>
      </w:tr>
      <w:tr>
        <w:trPr/>
        <w:tc>
          <w:tcPr>
            <w:tcW w:w="29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Tax benefit</w:t>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33" w:type="dxa"/>
            <w:tcBorders/>
            <w:shd w:fill="FFFFFF" w:val="clear"/>
            <w:vAlign w:val="center"/>
          </w:tcPr>
          <w:p>
            <w:pPr>
              <w:pStyle w:val="TableContents"/>
              <w:bidi w:val="0"/>
              <w:spacing w:before="0" w:after="283"/>
              <w:jc w:val="left"/>
              <w:rPr>
                <w:sz w:val="4"/>
                <w:szCs w:val="4"/>
              </w:rPr>
            </w:pPr>
            <w:r>
              <w:rPr>
                <w:sz w:val="4"/>
                <w:szCs w:val="4"/>
              </w:rPr>
            </w:r>
          </w:p>
        </w:tc>
        <w:tc>
          <w:tcPr>
            <w:tcW w:w="7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Company had unrecognized share-based compensation expense of $70.2 million.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2026, the Company had unrecognized share-based compensation expense of $62.7 million, which will be recognized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over a weighted average period of approximately three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(assuming no forfeitures).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Restricted Stock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transactions in the Company’s restricted stock units:</w:t>
      </w:r>
    </w:p>
    <w:tbl>
      <w:tblPr>
        <w:tblW w:w="5917" w:type="dxa"/>
        <w:jc w:val="left"/>
        <w:tblInd w:w="0" w:type="dxa"/>
        <w:tblLayout w:type="fixed"/>
        <w:tblCellMar>
          <w:top w:w="28" w:type="dxa"/>
          <w:left w:w="28" w:type="dxa"/>
          <w:bottom w:w="28" w:type="dxa"/>
          <w:right w:w="28" w:type="dxa"/>
        </w:tblCellMar>
      </w:tblPr>
      <w:tblGrid>
        <w:gridCol w:w="3421"/>
        <w:gridCol w:w="931"/>
        <w:gridCol w:w="109"/>
        <w:gridCol w:w="1456"/>
      </w:tblGrid>
      <w:tr>
        <w:trPr/>
        <w:tc>
          <w:tcPr>
            <w:tcW w:w="342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Restricted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Units</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Grant Date Value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 Unit</w:t>
            </w:r>
          </w:p>
        </w:tc>
      </w:tr>
      <w:tr>
        <w:trPr/>
        <w:tc>
          <w:tcPr>
            <w:tcW w:w="34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units, as of December 31, 2025</w:t>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$161.80</w:t>
            </w:r>
          </w:p>
        </w:tc>
      </w:tr>
      <w:tr>
        <w:trPr/>
        <w:tc>
          <w:tcPr>
            <w:tcW w:w="34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Units granted</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299.16</w:t>
            </w:r>
          </w:p>
        </w:tc>
      </w:tr>
      <w:tr>
        <w:trPr/>
        <w:tc>
          <w:tcPr>
            <w:tcW w:w="34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Units vested</w:t>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153.92</w:t>
            </w:r>
          </w:p>
        </w:tc>
      </w:tr>
      <w:tr>
        <w:trPr/>
        <w:tc>
          <w:tcPr>
            <w:tcW w:w="34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Units forfeited</w:t>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170.83</w:t>
            </w:r>
          </w:p>
        </w:tc>
      </w:tr>
      <w:tr>
        <w:trPr/>
        <w:tc>
          <w:tcPr>
            <w:tcW w:w="34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Performance condition changes</w:t>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4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units, as of June 30, 2026</w:t>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$180.57</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the Company granted restricted stock units with fair values of $53.8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w:t>
      </w:r>
      <w:r>
        <w:rPr>
          <w:rFonts w:ascii="Times New Roman;serif" w:hAnsi="Times New Roman;serif"/>
          <w:b w:val="false"/>
          <w:i w:val="false"/>
          <w:caps w:val="false"/>
          <w:smallCaps w:val="false"/>
          <w:strike w:val="false"/>
          <w:dstrike w:val="false"/>
          <w:sz w:val="20"/>
          <w:u w:val="none"/>
          <w:effect w:val="none"/>
        </w:rPr>
        <w:t xml:space="preserve">and $28.9 million, respectively.  These restricted stock units were valued based on the closing price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common stock on the grant date and the number of shares expected to vest.  Restricted stock units containing vesting conditions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generally require service over a period of three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four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may also require the satisfaction of certain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conditions.  For awards with performance conditions, the number of restricted stock units expected to vest may change over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time depending upon the performance level expected to be achieved.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Stock Options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transactions in the Company’s stock options:</w:t>
      </w:r>
    </w:p>
    <w:tbl>
      <w:tblPr>
        <w:tblW w:w="8412" w:type="dxa"/>
        <w:jc w:val="left"/>
        <w:tblInd w:w="0" w:type="dxa"/>
        <w:tblLayout w:type="fixed"/>
        <w:tblCellMar>
          <w:top w:w="28" w:type="dxa"/>
          <w:left w:w="28" w:type="dxa"/>
          <w:bottom w:w="28" w:type="dxa"/>
          <w:right w:w="28" w:type="dxa"/>
        </w:tblCellMar>
      </w:tblPr>
      <w:tblGrid>
        <w:gridCol w:w="4891"/>
        <w:gridCol w:w="676"/>
        <w:gridCol w:w="109"/>
        <w:gridCol w:w="1126"/>
        <w:gridCol w:w="109"/>
        <w:gridCol w:w="1501"/>
      </w:tblGrid>
      <w:tr>
        <w:trPr/>
        <w:tc>
          <w:tcPr>
            <w:tcW w:w="489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Stock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Exercise Price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 Option</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 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Remaining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Contractual Life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(Years)</w:t>
            </w:r>
          </w:p>
        </w:tc>
      </w:tr>
      <w:tr>
        <w:trPr/>
        <w:tc>
          <w:tcPr>
            <w:tcW w:w="48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Unexercised options outstanding, as of December 31, 2025</w:t>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8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Options granted</w:t>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r>
      <w:tr>
        <w:trPr/>
        <w:tc>
          <w:tcPr>
            <w:tcW w:w="48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Options exercised</w:t>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r>
      <w:tr>
        <w:trPr/>
        <w:tc>
          <w:tcPr>
            <w:tcW w:w="48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Options forfeited</w:t>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8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Options expired</w:t>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r>
      <w:tr>
        <w:trPr/>
        <w:tc>
          <w:tcPr>
            <w:tcW w:w="48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Performance condition changes</w:t>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r>
      <w:tr>
        <w:trPr/>
        <w:tc>
          <w:tcPr>
            <w:tcW w:w="48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Unexercised options outstanding, as of June 30, 2026</w:t>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r>
      <w:tr>
        <w:trPr/>
        <w:tc>
          <w:tcPr>
            <w:tcW w:w="48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Exercisable at June 30, 2026</w:t>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did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grant any stock options during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Stock options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generally vest over a period of four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expire seven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after the grant date.  All stock options have been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granted with exercise prices equal to the closing price of the Company’s common stock on the grant date.  Substantially all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outstanding stock options contain both service and performance conditions.  For awards with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conditions, the number of stock options expected to vest may change over time depending upon the performance level expected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be achieved.</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14.</w:t>
      </w:r>
      <w:r>
        <w:rPr>
          <w:rFonts w:ascii="Times New Roman;serif" w:hAnsi="Times New Roman;serif"/>
          <w:b/>
          <w:i w:val="false"/>
          <w:caps w:val="false"/>
          <w:smallCaps w:val="false"/>
          <w:strike w:val="false"/>
          <w:dstrike w:val="false"/>
          <w:sz w:val="20"/>
          <w:u w:val="none"/>
          <w:effect w:val="none"/>
        </w:rPr>
        <w:t>Income Taxes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consolidated income tax provision includes taxes attributable to the controlling interest and, to a lesser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extent, taxes attributable to the non-controlling interests.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consolidated provision for income taxes:</w:t>
      </w:r>
    </w:p>
    <w:tbl>
      <w:tblPr>
        <w:tblW w:w="7549" w:type="dxa"/>
        <w:jc w:val="left"/>
        <w:tblInd w:w="0" w:type="dxa"/>
        <w:tblLayout w:type="fixed"/>
        <w:tblCellMar>
          <w:top w:w="28" w:type="dxa"/>
          <w:left w:w="28" w:type="dxa"/>
          <w:bottom w:w="28" w:type="dxa"/>
          <w:right w:w="28" w:type="dxa"/>
        </w:tblCellMar>
      </w:tblPr>
      <w:tblGrid>
        <w:gridCol w:w="4111"/>
        <w:gridCol w:w="805"/>
        <w:gridCol w:w="129"/>
        <w:gridCol w:w="805"/>
        <w:gridCol w:w="109"/>
        <w:gridCol w:w="714"/>
        <w:gridCol w:w="115"/>
        <w:gridCol w:w="761"/>
      </w:tblGrid>
      <w:tr>
        <w:trPr/>
        <w:tc>
          <w:tcPr>
            <w:tcW w:w="41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411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4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Controlling interest</w:t>
            </w:r>
            <w:r>
              <w:rPr>
                <w:rFonts w:ascii="Times New Roman;serif" w:hAnsi="Times New Roman;serif"/>
                <w:b w:val="false"/>
                <w:i w:val="false"/>
                <w:caps w:val="false"/>
                <w:smallCaps w:val="false"/>
                <w:sz w:val="10"/>
              </w:rPr>
              <w:t>(1)</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$58.3</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$111.6</w:t>
            </w:r>
          </w:p>
        </w:tc>
      </w:tr>
      <w:tr>
        <w:trPr/>
        <w:tc>
          <w:tcPr>
            <w:tcW w:w="41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Non-controlling interests</w:t>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r>
      <w:tr>
        <w:trPr/>
        <w:tc>
          <w:tcPr>
            <w:tcW w:w="41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Income tax expense </w:t>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$63.1</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$116.5</w:t>
            </w:r>
          </w:p>
        </w:tc>
      </w:tr>
      <w:tr>
        <w:trPr/>
        <w:tc>
          <w:tcPr>
            <w:tcW w:w="41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Income before income taxes (controlling interest)</w:t>
            </w:r>
          </w:p>
        </w:tc>
        <w:tc>
          <w:tcPr>
            <w:tcW w:w="80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$117.9</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$214.9</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$407.9</w:t>
            </w:r>
          </w:p>
        </w:tc>
      </w:tr>
      <w:tr>
        <w:trPr/>
        <w:tc>
          <w:tcPr>
            <w:tcW w:w="4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Effective tax rate (controlling interest)</w:t>
            </w:r>
            <w:r>
              <w:rPr>
                <w:rFonts w:ascii="Times New Roman;serif" w:hAnsi="Times New Roman;serif"/>
                <w:b w:val="false"/>
                <w:i w:val="false"/>
                <w:caps w:val="false"/>
                <w:smallCaps w:val="false"/>
                <w:sz w:val="10"/>
              </w:rPr>
              <w:t>(2)</w:t>
            </w:r>
          </w:p>
        </w:tc>
        <w:tc>
          <w:tcPr>
            <w:tcW w:w="805"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27.1%</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income tax expense (controlling interest) included intangible-related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deferred tax expense of $15.4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$14.3 million, respectively.  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 tax expense (controlling interest) included intangible-related deferred tax expense of $15.5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Taxes attributable to the controlling interest divided by income before income taxes (controlling interest).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effective tax rate (controlling interest)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higher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marginal tax rate of 24.5%, primarily due to an expense attributable to a modification of the terms of certain equity awards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at an Affiliate for which no tax benefit was recorded. </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effective tax rate (controlling interest)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 higher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marginal tax rate of 24.5%, primarily due to expenses attributable to Affiliate equity awards for which no tax benefit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recorded.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effective tax rate reflects the relative contributions of earnings in the jurisdictions in which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its Affiliates operate and is impacted by changes in the jurisdictional mix of income before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15.</w:t>
      </w:r>
      <w:r>
        <w:rPr>
          <w:rFonts w:ascii="Times New Roman;serif" w:hAnsi="Times New Roman;serif"/>
          <w:b/>
          <w:i w:val="false"/>
          <w:caps w:val="false"/>
          <w:smallCaps w:val="false"/>
          <w:strike w:val="false"/>
          <w:dstrike w:val="false"/>
          <w:sz w:val="20"/>
          <w:u w:val="none"/>
          <w:effect w:val="none"/>
        </w:rPr>
        <w:t>Earnings Per Share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calculation of Earnings per share (basic) is based on the weighted average number of shares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common stock outstanding during the period.  Earnings per share (diluted) is similar to Earnings per share (basic), but adjusts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dilutive effect of the potential issuance of incremental shares of the Company’s common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is a reconciliation of the numerator and denominator used in the calculation of basic and diluted earnings per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share available to common stockholders:</w:t>
      </w:r>
    </w:p>
    <w:tbl>
      <w:tblPr>
        <w:tblW w:w="9904" w:type="dxa"/>
        <w:jc w:val="left"/>
        <w:tblInd w:w="0" w:type="dxa"/>
        <w:tblLayout w:type="fixed"/>
        <w:tblCellMar>
          <w:top w:w="28" w:type="dxa"/>
          <w:left w:w="28" w:type="dxa"/>
          <w:bottom w:w="28" w:type="dxa"/>
          <w:right w:w="28" w:type="dxa"/>
        </w:tblCellMar>
      </w:tblPr>
      <w:tblGrid>
        <w:gridCol w:w="6466"/>
        <w:gridCol w:w="733"/>
        <w:gridCol w:w="139"/>
        <w:gridCol w:w="867"/>
        <w:gridCol w:w="109"/>
        <w:gridCol w:w="714"/>
        <w:gridCol w:w="115"/>
        <w:gridCol w:w="761"/>
      </w:tblGrid>
      <w:tr>
        <w:trPr/>
        <w:tc>
          <w:tcPr>
            <w:tcW w:w="646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646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646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646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Numerator</w:t>
            </w:r>
          </w:p>
        </w:tc>
        <w:tc>
          <w:tcPr>
            <w:tcW w:w="7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86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4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p>
        </w:tc>
        <w:tc>
          <w:tcPr>
            <w:tcW w:w="7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$296.3</w:t>
            </w:r>
          </w:p>
        </w:tc>
      </w:tr>
      <w:tr>
        <w:trPr/>
        <w:tc>
          <w:tcPr>
            <w:tcW w:w="64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Income (loss) from hypothetical settlement of Redeemable non-controlling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interests, net of taxes</w:t>
            </w:r>
          </w:p>
        </w:tc>
        <w:tc>
          <w:tcPr>
            <w:tcW w:w="7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8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r>
      <w:tr>
        <w:trPr/>
        <w:tc>
          <w:tcPr>
            <w:tcW w:w="64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 on junior convertible securities, net of taxes</w:t>
            </w:r>
          </w:p>
        </w:tc>
        <w:tc>
          <w:tcPr>
            <w:tcW w:w="733"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 as adjusted</w:t>
            </w:r>
          </w:p>
        </w:tc>
        <w:tc>
          <w:tcPr>
            <w:tcW w:w="73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$88.0</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86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$161.8</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$293.5</w:t>
            </w:r>
          </w:p>
        </w:tc>
      </w:tr>
      <w:tr>
        <w:trPr/>
        <w:tc>
          <w:tcPr>
            <w:tcW w:w="6466" w:type="dxa"/>
            <w:tcBorders/>
            <w:shd w:fill="FFFF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Denominator</w:t>
            </w:r>
          </w:p>
        </w:tc>
        <w:tc>
          <w:tcPr>
            <w:tcW w:w="733"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shares outstanding (basic)</w:t>
            </w:r>
          </w:p>
        </w:tc>
        <w:tc>
          <w:tcPr>
            <w:tcW w:w="7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8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28.9</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w:t>
            </w:r>
          </w:p>
        </w:tc>
      </w:tr>
      <w:tr>
        <w:trPr/>
        <w:tc>
          <w:tcPr>
            <w:tcW w:w="64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 of dilutive instruments:</w:t>
            </w:r>
          </w:p>
        </w:tc>
        <w:tc>
          <w:tcPr>
            <w:tcW w:w="73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before="0" w:after="283"/>
              <w:jc w:val="left"/>
              <w:rPr>
                <w:sz w:val="4"/>
                <w:szCs w:val="4"/>
              </w:rPr>
            </w:pPr>
            <w:r>
              <w:rPr>
                <w:sz w:val="4"/>
                <w:szCs w:val="4"/>
              </w:rPr>
            </w:r>
          </w:p>
        </w:tc>
      </w:tr>
      <w:tr>
        <w:trPr/>
        <w:tc>
          <w:tcPr>
            <w:tcW w:w="64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 and restricted stock units</w:t>
            </w:r>
          </w:p>
        </w:tc>
        <w:tc>
          <w:tcPr>
            <w:tcW w:w="7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8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r>
      <w:tr>
        <w:trPr/>
        <w:tc>
          <w:tcPr>
            <w:tcW w:w="64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Hypothetical issuance of shares to settle Redeemable non-controlling interests</w:t>
            </w:r>
          </w:p>
        </w:tc>
        <w:tc>
          <w:tcPr>
            <w:tcW w:w="7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r>
      <w:tr>
        <w:trPr/>
        <w:tc>
          <w:tcPr>
            <w:tcW w:w="64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Assumed issuance of junior convertible securities shares</w:t>
            </w:r>
          </w:p>
        </w:tc>
        <w:tc>
          <w:tcPr>
            <w:tcW w:w="73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39" w:type="dxa"/>
            <w:tcBorders/>
            <w:shd w:fill="CCEEFF" w:val="clear"/>
            <w:vAlign w:val="center"/>
          </w:tcPr>
          <w:p>
            <w:pPr>
              <w:pStyle w:val="TableContents"/>
              <w:bidi w:val="0"/>
              <w:spacing w:before="0" w:after="283"/>
              <w:jc w:val="left"/>
              <w:rPr>
                <w:sz w:val="4"/>
                <w:szCs w:val="4"/>
              </w:rPr>
            </w:pPr>
            <w:r>
              <w:rPr>
                <w:sz w:val="4"/>
                <w:szCs w:val="4"/>
              </w:rPr>
            </w:r>
          </w:p>
        </w:tc>
        <w:tc>
          <w:tcPr>
            <w:tcW w:w="8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4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shares outstanding (diluted)</w:t>
            </w:r>
          </w:p>
        </w:tc>
        <w:tc>
          <w:tcPr>
            <w:tcW w:w="73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w:t>
            </w:r>
          </w:p>
        </w:tc>
        <w:tc>
          <w:tcPr>
            <w:tcW w:w="139"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Average shares outstanding (diluted) in the table above excludes stock options and restricted stock units that have not met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performance conditions and instruments that have an anti-dilutive effect on Earnings per share (diluted).  The following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is a summary of items excluded from the denominator in the table above:</w:t>
      </w:r>
    </w:p>
    <w:tbl>
      <w:tblPr>
        <w:tblW w:w="8584" w:type="dxa"/>
        <w:jc w:val="left"/>
        <w:tblInd w:w="0" w:type="dxa"/>
        <w:tblLayout w:type="fixed"/>
        <w:tblCellMar>
          <w:top w:w="28" w:type="dxa"/>
          <w:left w:w="28" w:type="dxa"/>
          <w:bottom w:w="28" w:type="dxa"/>
          <w:right w:w="28" w:type="dxa"/>
        </w:tblCellMar>
      </w:tblPr>
      <w:tblGrid>
        <w:gridCol w:w="5146"/>
        <w:gridCol w:w="779"/>
        <w:gridCol w:w="182"/>
        <w:gridCol w:w="779"/>
        <w:gridCol w:w="109"/>
        <w:gridCol w:w="682"/>
        <w:gridCol w:w="159"/>
        <w:gridCol w:w="748"/>
      </w:tblGrid>
      <w:tr>
        <w:trPr/>
        <w:tc>
          <w:tcPr>
            <w:tcW w:w="514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5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4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51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7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51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 and restricted stock units</w:t>
            </w:r>
          </w:p>
        </w:tc>
        <w:tc>
          <w:tcPr>
            <w:tcW w:w="77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82"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r>
      <w:tr>
        <w:trPr/>
        <w:tc>
          <w:tcPr>
            <w:tcW w:w="51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Shares issuable to settle Redeemable non-controlling interests</w:t>
            </w:r>
          </w:p>
        </w:tc>
        <w:tc>
          <w:tcPr>
            <w:tcW w:w="77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82"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59"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under its authorized share repurchase programs, the Company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repurchased 0.6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of its common stock at an average price per share of $313.56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$310.29,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16.</w:t>
      </w:r>
      <w:r>
        <w:rPr>
          <w:rFonts w:ascii="Times New Roman;serif" w:hAnsi="Times New Roman;serif"/>
          <w:b/>
          <w:i w:val="false"/>
          <w:caps w:val="false"/>
          <w:smallCaps w:val="false"/>
          <w:strike w:val="false"/>
          <w:dstrike w:val="false"/>
          <w:sz w:val="20"/>
          <w:u w:val="none"/>
          <w:effect w:val="none"/>
        </w:rPr>
        <w:t>Comprehensive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present the tax effects allocated to each component of Other comprehensive income (loss):</w:t>
      </w:r>
    </w:p>
    <w:tbl>
      <w:tblPr>
        <w:tblW w:w="9387" w:type="dxa"/>
        <w:jc w:val="left"/>
        <w:tblInd w:w="0" w:type="dxa"/>
        <w:tblLayout w:type="fixed"/>
        <w:tblCellMar>
          <w:top w:w="28" w:type="dxa"/>
          <w:left w:w="28" w:type="dxa"/>
          <w:bottom w:w="28" w:type="dxa"/>
          <w:right w:w="28" w:type="dxa"/>
        </w:tblCellMar>
      </w:tblPr>
      <w:tblGrid>
        <w:gridCol w:w="3646"/>
        <w:gridCol w:w="706"/>
        <w:gridCol w:w="109"/>
        <w:gridCol w:w="1021"/>
        <w:gridCol w:w="109"/>
        <w:gridCol w:w="886"/>
        <w:gridCol w:w="109"/>
        <w:gridCol w:w="706"/>
        <w:gridCol w:w="109"/>
        <w:gridCol w:w="946"/>
        <w:gridCol w:w="109"/>
        <w:gridCol w:w="931"/>
      </w:tblGrid>
      <w:tr>
        <w:trPr/>
        <w:tc>
          <w:tcPr>
            <w:tcW w:w="36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sz w:val="4"/>
                <w:szCs w:val="4"/>
              </w:rPr>
            </w:pPr>
            <w:r>
              <w:rPr>
                <w:sz w:val="4"/>
                <w:szCs w:val="4"/>
              </w:rPr>
            </w:r>
          </w:p>
        </w:tc>
        <w:tc>
          <w:tcPr>
            <w:tcW w:w="5741"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Ended June 30, </w:t>
            </w:r>
          </w:p>
        </w:tc>
      </w:tr>
      <w:tr>
        <w:trPr/>
        <w:tc>
          <w:tcPr>
            <w:tcW w:w="3646" w:type="dxa"/>
            <w:tcBorders/>
            <w:vAlign w:val="center"/>
          </w:tcPr>
          <w:p>
            <w:pPr>
              <w:pStyle w:val="TableContents"/>
              <w:bidi w:val="0"/>
              <w:spacing w:before="0" w:after="283"/>
              <w:jc w:val="left"/>
              <w:rPr>
                <w:sz w:val="4"/>
                <w:szCs w:val="4"/>
              </w:rPr>
            </w:pPr>
            <w:r>
              <w:rPr>
                <w:sz w:val="4"/>
                <w:szCs w:val="4"/>
              </w:rPr>
            </w:r>
          </w:p>
        </w:tc>
        <w:tc>
          <w:tcPr>
            <w:tcW w:w="283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3646"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Pre-Tax</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Tax Expense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of Tax</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Pre-Tax</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Tax Benefit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of Tax</w:t>
            </w:r>
          </w:p>
        </w:tc>
      </w:tr>
      <w:tr>
        <w:trPr/>
        <w:tc>
          <w:tcPr>
            <w:tcW w:w="3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 gain (loss)</w:t>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r>
      <w:tr>
        <w:trPr/>
        <w:tc>
          <w:tcPr>
            <w:tcW w:w="3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Change in net realized and unrealized gain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derivative financial instruments</w:t>
            </w:r>
          </w:p>
        </w:tc>
        <w:tc>
          <w:tcPr>
            <w:tcW w:w="70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3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 (loss)</w:t>
            </w:r>
          </w:p>
        </w:tc>
        <w:tc>
          <w:tcPr>
            <w:tcW w:w="70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w:t>
            </w:r>
          </w:p>
        </w:tc>
      </w:tr>
    </w:tbl>
    <w:tbl>
      <w:tblPr>
        <w:tblW w:w="9312" w:type="dxa"/>
        <w:jc w:val="left"/>
        <w:tblInd w:w="0" w:type="dxa"/>
        <w:tblLayout w:type="fixed"/>
        <w:tblCellMar>
          <w:top w:w="28" w:type="dxa"/>
          <w:left w:w="28" w:type="dxa"/>
          <w:bottom w:w="28" w:type="dxa"/>
          <w:right w:w="28" w:type="dxa"/>
        </w:tblCellMar>
      </w:tblPr>
      <w:tblGrid>
        <w:gridCol w:w="3646"/>
        <w:gridCol w:w="706"/>
        <w:gridCol w:w="109"/>
        <w:gridCol w:w="946"/>
        <w:gridCol w:w="109"/>
        <w:gridCol w:w="886"/>
        <w:gridCol w:w="109"/>
        <w:gridCol w:w="706"/>
        <w:gridCol w:w="109"/>
        <w:gridCol w:w="946"/>
        <w:gridCol w:w="109"/>
        <w:gridCol w:w="931"/>
      </w:tblGrid>
      <w:tr>
        <w:trPr/>
        <w:tc>
          <w:tcPr>
            <w:tcW w:w="36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center"/>
          </w:tcPr>
          <w:p>
            <w:pPr>
              <w:pStyle w:val="TableContents"/>
              <w:bidi w:val="0"/>
              <w:spacing w:before="0" w:after="283"/>
              <w:jc w:val="left"/>
              <w:rPr>
                <w:sz w:val="4"/>
                <w:szCs w:val="4"/>
              </w:rPr>
            </w:pPr>
            <w:r>
              <w:rPr>
                <w:sz w:val="4"/>
                <w:szCs w:val="4"/>
              </w:rPr>
            </w:r>
          </w:p>
        </w:tc>
        <w:tc>
          <w:tcPr>
            <w:tcW w:w="5666"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Six Months Ended June 30,</w:t>
            </w:r>
          </w:p>
        </w:tc>
      </w:tr>
      <w:tr>
        <w:trPr/>
        <w:tc>
          <w:tcPr>
            <w:tcW w:w="3646" w:type="dxa"/>
            <w:tcBorders/>
            <w:vAlign w:val="center"/>
          </w:tcPr>
          <w:p>
            <w:pPr>
              <w:pStyle w:val="TableContents"/>
              <w:bidi w:val="0"/>
              <w:spacing w:before="0" w:after="283"/>
              <w:jc w:val="left"/>
              <w:rPr>
                <w:sz w:val="4"/>
                <w:szCs w:val="4"/>
              </w:rPr>
            </w:pPr>
            <w:r>
              <w:rPr>
                <w:sz w:val="4"/>
                <w:szCs w:val="4"/>
              </w:rPr>
            </w:r>
          </w:p>
        </w:tc>
        <w:tc>
          <w:tcPr>
            <w:tcW w:w="275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3646"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Pre-Tax</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Tax Benefit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of Tax</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Pre-Tax</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Tax Benefit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of Tax</w:t>
            </w:r>
          </w:p>
        </w:tc>
      </w:tr>
      <w:tr>
        <w:trPr/>
        <w:tc>
          <w:tcPr>
            <w:tcW w:w="3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 gain (loss)</w:t>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w:t>
            </w:r>
          </w:p>
        </w:tc>
      </w:tr>
      <w:tr>
        <w:trPr/>
        <w:tc>
          <w:tcPr>
            <w:tcW w:w="3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Change in net realized and unrealized gain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(loss) on derivative financial instruments</w:t>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r>
      <w:tr>
        <w:trPr/>
        <w:tc>
          <w:tcPr>
            <w:tcW w:w="3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Change in net unrealized gain (loss) on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available-for-sale debt securities</w:t>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 (loss)</w:t>
            </w:r>
          </w:p>
        </w:tc>
        <w:tc>
          <w:tcPr>
            <w:tcW w:w="7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components of accumulated other comprehensive loss,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of taxes, were as follows:</w:t>
      </w:r>
    </w:p>
    <w:tbl>
      <w:tblPr>
        <w:tblW w:w="8022" w:type="dxa"/>
        <w:jc w:val="left"/>
        <w:tblInd w:w="0" w:type="dxa"/>
        <w:tblLayout w:type="fixed"/>
        <w:tblCellMar>
          <w:top w:w="28" w:type="dxa"/>
          <w:left w:w="28" w:type="dxa"/>
          <w:bottom w:w="28" w:type="dxa"/>
          <w:right w:w="28" w:type="dxa"/>
        </w:tblCellMar>
      </w:tblPr>
      <w:tblGrid>
        <w:gridCol w:w="4876"/>
        <w:gridCol w:w="946"/>
        <w:gridCol w:w="109"/>
        <w:gridCol w:w="1141"/>
        <w:gridCol w:w="109"/>
        <w:gridCol w:w="841"/>
      </w:tblGrid>
      <w:tr>
        <w:trPr/>
        <w:tc>
          <w:tcPr>
            <w:tcW w:w="48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Foreign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Currency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Translation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Realized and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Unrealized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Gains (Losses)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on Derivative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Financial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as of December 31, 2025</w:t>
            </w:r>
          </w:p>
        </w:tc>
        <w:tc>
          <w:tcPr>
            <w:tcW w:w="9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$(184.1)</w:t>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comprehensive income (loss) before reclassifications</w:t>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w:t>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w:t>
            </w:r>
          </w:p>
        </w:tc>
        <w:tc>
          <w:tcPr>
            <w:tcW w:w="9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4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other comprehensive income (loss)</w:t>
            </w:r>
          </w:p>
        </w:tc>
        <w:tc>
          <w:tcPr>
            <w:tcW w:w="9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w:t>
            </w:r>
          </w:p>
        </w:tc>
      </w:tr>
      <w:tr>
        <w:trPr/>
        <w:tc>
          <w:tcPr>
            <w:tcW w:w="4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as of June 30, 2026</w:t>
            </w:r>
          </w:p>
        </w:tc>
        <w:tc>
          <w:tcPr>
            <w:tcW w:w="9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17.</w:t>
      </w:r>
      <w:r>
        <w:rPr>
          <w:rFonts w:ascii="Times New Roman;serif" w:hAnsi="Times New Roman;serif"/>
          <w:b/>
          <w:i w:val="false"/>
          <w:caps w:val="false"/>
          <w:smallCaps w:val="false"/>
          <w:strike w:val="false"/>
          <w:dstrike w:val="false"/>
          <w:sz w:val="20"/>
          <w:u w:val="none"/>
          <w:effect w:val="none"/>
        </w:rPr>
        <w:t>Segment Information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operates in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segment.  Accordingly, the Company’s Consolidated revenue, Net income, and Total assets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reflect the revenue, profit, and assets of the Company’s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single segment,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President and Chief Executive Officer is the chief operating decision maker (“CODM”).  The CODM uses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income in assessing the performance and in determining the allocation of resources of the Company’s reportable segment.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CODM is regularly provided expense information consistent with the expense categories presented in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Statements of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Certain matters discussed in this Quarterly Report on Form 10-Q, in our other filings with the Securities and Exchange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Commission, in our press releases, and in oral statements made with the approval of an executive officer may constitute </w:t>
      </w:r>
    </w:p>
    <w:p>
      <w:pPr>
        <w:pStyle w:val="TextBody"/>
        <w:bidi w:val="0"/>
        <w:spacing w:lineRule="atLeast" w:line="200" w:before="0" w:after="0"/>
        <w:jc w:val="left"/>
        <w:rPr/>
      </w:pPr>
      <w:r>
        <w:rPr/>
        <w:t>“</w:t>
      </w:r>
      <w:r>
        <w:rPr>
          <w:rFonts w:ascii="Times New Roman;serif" w:hAnsi="Times New Roman;serif"/>
          <w:b w:val="false"/>
          <w:i/>
          <w:sz w:val="20"/>
        </w:rPr>
        <w:t xml:space="preserve">forward-looking statements” within the meaning of the Private Securities Litigation Reform Act of 1995.  These statements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include, but are not limited to, statements related to our expectations regarding the performance of our business, our financial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results, our liquidity and capital resources, and other non-historical statements, and may be prefaced with words such as </w:t>
      </w:r>
    </w:p>
    <w:p>
      <w:pPr>
        <w:pStyle w:val="TextBody"/>
        <w:bidi w:val="0"/>
        <w:spacing w:lineRule="atLeast" w:line="200" w:before="0" w:after="0"/>
        <w:jc w:val="left"/>
        <w:rPr/>
      </w:pPr>
      <w:r>
        <w:rPr/>
        <w:t>“</w:t>
      </w:r>
      <w:r>
        <w:rPr>
          <w:rFonts w:ascii="Times New Roman;serif" w:hAnsi="Times New Roman;serif"/>
          <w:b w:val="false"/>
          <w:i/>
          <w:sz w:val="20"/>
        </w:rPr>
        <w:t xml:space="preserve">outlook,” “guidance,” “believes,” “expects,” “potential,” “preliminary,” “continues,” “may,” “will,” “should,” “seeks,” </w:t>
      </w:r>
    </w:p>
    <w:p>
      <w:pPr>
        <w:pStyle w:val="TextBody"/>
        <w:bidi w:val="0"/>
        <w:spacing w:lineRule="atLeast" w:line="200" w:before="0" w:after="0"/>
        <w:jc w:val="left"/>
        <w:rPr/>
      </w:pPr>
      <w:r>
        <w:rPr/>
        <w:t>“</w:t>
      </w:r>
      <w:r>
        <w:rPr>
          <w:rFonts w:ascii="Times New Roman;serif" w:hAnsi="Times New Roman;serif"/>
          <w:b w:val="false"/>
          <w:i/>
          <w:sz w:val="20"/>
        </w:rPr>
        <w:t xml:space="preserve">approximately,” “predicts,” “projects,” “positioned,” “prospects,” “intends,” “plans,” “estimates,” “pending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investments,” “anticipates,” or the negative version of these words or other comparable words.  Such statements are subject to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certain risks and uncertainties, including, among others, the factors discussed under the caption “Item 1A. Risk Factors” in our </w:t>
      </w:r>
    </w:p>
    <w:p>
      <w:pPr>
        <w:pStyle w:val="TextBody"/>
        <w:bidi w:val="0"/>
        <w:spacing w:lineRule="atLeast" w:line="200" w:before="0" w:after="0"/>
        <w:jc w:val="left"/>
        <w:rPr>
          <w:sz w:val="24"/>
        </w:rPr>
      </w:pPr>
      <w:r>
        <w:rPr>
          <w:rFonts w:ascii="Times New Roman;serif" w:hAnsi="Times New Roman;serif"/>
          <w:b w:val="false"/>
          <w:i/>
          <w:sz w:val="20"/>
        </w:rPr>
        <w:t xml:space="preserve">Annual Report on Form 10-K for the year ended December 31, </w:t>
      </w:r>
      <w:r>
        <w:rPr>
          <w:rFonts w:ascii="Times New Roman;serif" w:hAnsi="Times New Roman;serif"/>
          <w:b w:val="false"/>
          <w:i/>
          <w:strike w:val="false"/>
          <w:dstrike w:val="false"/>
          <w:sz w:val="20"/>
          <w:u w:val="none"/>
          <w:effect w:val="none"/>
        </w:rPr>
        <w:t>2025</w:t>
      </w:r>
      <w:r>
        <w:rPr>
          <w:rFonts w:ascii="Times New Roman;serif" w:hAnsi="Times New Roman;serif"/>
          <w:b w:val="false"/>
          <w:i/>
          <w:sz w:val="20"/>
        </w:rPr>
        <w:t xml:space="preserve">, and from time to time, as applicable, our Quarterly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Reports on Form 10-Q .  These factors (among others) could affect our financial condition, business activities, results of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operations, cash flows, or overall financial performance and cause actual results and business activities to differ materially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from historical periods and those presently anticipated and projected.  Forward-looking statements speak only as of the date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they are made, and we will not undertake and we specifically disclaim any obligation to release publicly the result of any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revisions that may be made to any forward-looking statements to reflect events or circumstances after the date of such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statements or to reflect the occurrence of events, whether or not anticipated.  In that respect, we caution readers not to place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undue reliance on any such forward-looking statements.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Management’s Discussion and Analysis of Financial Condition and Results of Operations should be read in conjunction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with our Consolidated Financial Statements and the notes thereto contained elsewhere in this Quarterly Report on Form 10-Q.</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References throughout this report to “AMG,” “we,” “us,” “our,” the “Company,” and similar references refer to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Affiliated Managers Group, Inc., unless otherwise stated or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Executive Overview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 is a strategic partner to leading independent investment firms globally.  Our strategy is to generate long-term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investing in high-quality independent partner-owned firms, which we refer to as “Affiliates,” through a proven partnership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approach, and allocating resources across our unique opportunity set to the areas of highest growth and return.  With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entrepreneurial, investment-centric cultures and alignment of interests with clients through direct equity ownership by firm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principals, independent firms have fundamental competitive advantages in offering unique return streams to the marketplace.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AMG’s distinctive approach, we enhance these advantages to magnify the long-term success of our Affiliates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actively support their independence.  Our innovative model enables each Affiliate’s management team to retain autonomy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significant equity ownership in their firm, while they leverage our strategic capabilities and insight, including access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growth capital, product strategy and development, capital formation capabilities, incentive alignment and succession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planning, and strategic advisory to expand their reach, diversify their business, and enhance their long-term success.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our aggregate assets under management were </w:t>
      </w:r>
      <w:r>
        <w:rPr>
          <w:rFonts w:ascii="Times New Roman;serif" w:hAnsi="Times New Roman;serif"/>
          <w:b w:val="false"/>
          <w:i w:val="false"/>
          <w:caps w:val="false"/>
          <w:smallCaps w:val="false"/>
          <w:strike w:val="false"/>
          <w:dstrike w:val="false"/>
          <w:sz w:val="20"/>
          <w:u w:val="none"/>
          <w:effect w:val="none"/>
        </w:rPr>
        <w:t>approximately</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$942 billion</w:t>
      </w:r>
      <w:r>
        <w:rPr>
          <w:caps w:val="false"/>
          <w:smallCaps w:val="false"/>
          <w:sz w:val="24"/>
        </w:rPr>
        <w:t xml:space="preserve"> </w:t>
      </w:r>
      <w:r>
        <w:rPr>
          <w:rFonts w:ascii="Times New Roman;serif" w:hAnsi="Times New Roman;serif"/>
          <w:b w:val="false"/>
          <w:i w:val="false"/>
          <w:caps w:val="false"/>
          <w:smallCaps w:val="false"/>
          <w:sz w:val="20"/>
        </w:rPr>
        <w:t xml:space="preserve">across a diverse range of private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markets, liquid alternative, and differentiated long-only investment strategies.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2026, we completed our agreement with Brown Brothers Harriman (“BBH”) to acquire a minority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interest in BBH Credit Partners, BBH’s taxable fixed income and credit franchise, our additional minority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Garda Capital Partners LP (“Garda”), a liquid alternatives manager specializing in fixed income relative value strategies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an Affiliate since 2019, and our minority investment in HighBrook Investors (“HighBrook”), a private markets manager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specializing in real estate assets.  Following the close of the transactions, Affiliate management continues to hold a majority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the equity of the respective businesses and directs the day-to-day operations,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with respect to Garda, our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continues to be accounted for under the equity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Operating Performance Measures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accounting principles generally accepted in the U.S. (“GAAP”), we are required to consolidate certain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and use the equity method of accounting for others.  Whether we consolidate an Affiliate or use the equity method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we maintain the same innovative partnership approach and provide support and assistance in substantially the same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manner for all of our Affiliates.  Furthermore, all of our Affiliates are investment managers and are impacted by similar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marketplace factors and industry trends.  Therefore, certain key aggregate operating performance measures are important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providing management with a comprehensive view of the operating performance and material trends across our entire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key aggregate operating performance measures:</w:t>
      </w:r>
    </w:p>
    <w:tbl>
      <w:tblPr>
        <w:tblW w:w="8764" w:type="dxa"/>
        <w:jc w:val="left"/>
        <w:tblInd w:w="0" w:type="dxa"/>
        <w:tblLayout w:type="fixed"/>
        <w:tblCellMar>
          <w:top w:w="28" w:type="dxa"/>
          <w:left w:w="28" w:type="dxa"/>
          <w:bottom w:w="28" w:type="dxa"/>
          <w:right w:w="28" w:type="dxa"/>
        </w:tblCellMar>
      </w:tblPr>
      <w:tblGrid>
        <w:gridCol w:w="2896"/>
        <w:gridCol w:w="109"/>
        <w:gridCol w:w="858"/>
        <w:gridCol w:w="129"/>
        <w:gridCol w:w="858"/>
        <w:gridCol w:w="109"/>
        <w:gridCol w:w="871"/>
        <w:gridCol w:w="109"/>
        <w:gridCol w:w="837"/>
        <w:gridCol w:w="126"/>
        <w:gridCol w:w="837"/>
        <w:gridCol w:w="109"/>
        <w:gridCol w:w="916"/>
      </w:tblGrid>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and for the Three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Months Ended June 30, </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As of and for the Six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billions, except as noted)</w:t>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Assets under management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$771.0</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$771.0</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28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assets under management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736.6</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724.3</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r>
      <w:tr>
        <w:trPr/>
        <w:tc>
          <w:tcPr>
            <w:tcW w:w="28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Aggregate fees (in millions)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1,173.5</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2,443.9</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under management, and therefore average assets under management, include the assets under management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and equity method Affiliates.  Assets under management is presented on a current basis without regard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timing of the inclusion of an Affiliate’s financial results in our operating performance measures and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Average assets under management reflects the timing of the inclusion of an Affiliate’s financial results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performance measures and Consolidated Financial Statements.  Average assets under management for equities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similar investment products generally represents an average of the daily net assets under management, while for liquid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alternatives and multi-asset and fixed income products, average assets under management generally represents an average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at the beginning or end of each month during the applicable period.  Average assets under management for private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markets products generally represents total commitments or invested assets under management.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Aggregate fees</w:t>
      </w:r>
      <w:r>
        <w:rPr>
          <w:caps w:val="false"/>
          <w:smallCaps w:val="false"/>
          <w:sz w:val="24"/>
        </w:rPr>
        <w:t xml:space="preserve"> </w:t>
      </w:r>
      <w:r>
        <w:rPr>
          <w:rFonts w:ascii="Times New Roman;serif" w:hAnsi="Times New Roman;serif"/>
          <w:b w:val="false"/>
          <w:i w:val="false"/>
          <w:caps w:val="false"/>
          <w:smallCaps w:val="false"/>
          <w:sz w:val="20"/>
        </w:rPr>
        <w:t xml:space="preserve">consist of the total asset- and performance-based fees earned by all of our consolidated and equity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Affiliates.  </w:t>
      </w:r>
      <w:r>
        <w:rPr>
          <w:rFonts w:ascii="Times New Roman;serif" w:hAnsi="Times New Roman;serif"/>
          <w:b w:val="false"/>
          <w:i w:val="false"/>
          <w:caps w:val="false"/>
          <w:smallCaps w:val="false"/>
          <w:strike w:val="false"/>
          <w:dstrike w:val="false"/>
          <w:sz w:val="20"/>
          <w:u w:val="none"/>
          <w:effect w:val="none"/>
        </w:rPr>
        <w:t xml:space="preserve">In the case of our equity method Affiliates, asset- and performance-based fees are presented net of certain expense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reimbursements paid by the underlying products.</w:t>
      </w:r>
      <w:r>
        <w:rPr>
          <w:caps w:val="false"/>
          <w:smallCaps w:val="false"/>
          <w:strike w:val="false"/>
          <w:dstrike w:val="false"/>
          <w:color w:val="EE2724"/>
          <w:sz w:val="24"/>
          <w:u w:val="none"/>
          <w:effect w:val="none"/>
        </w:rPr>
        <w:t xml:space="preserve"> </w:t>
      </w:r>
      <w:r>
        <w:rPr>
          <w:rFonts w:ascii="Times New Roman;serif" w:hAnsi="Times New Roman;serif"/>
          <w:b w:val="false"/>
          <w:i w:val="false"/>
          <w:caps w:val="false"/>
          <w:smallCaps w:val="false"/>
          <w:sz w:val="20"/>
        </w:rPr>
        <w:t xml:space="preserve">For certain of our Affiliates accounted for under the equity method, we report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Affiliate’s aggregate fees one quarter in arrears.  Aggregate fees are provided in addition to, but not as a substitute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revenue or other GAAP performance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Assets Under Management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Affiliates manage capital on behalf of clients across a diverse range of investment strategies.  Our Affiliates earn asset-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based fees on the capital that they manage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certain of our Affiliates’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strategies earn performance-based fees based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performance generated by their investment products.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assets under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increased $60.4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7%, and 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2026, assets under management increased $129.1 billion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 16%.  These increases were driven by net client cash flows and market appreciation, and for the six months ended June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the increase was also due to the addition of assets associated with new Affiliate investments.  We continue to see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demand for alternative strategies; broad-based demand for our Affiliates’ liquid alternative and private markets strategies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generated strong net inflows in the quarter, while our Affiliates’ equity strategies experienced net outflows in line with trends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across the industry. As we continue to execute our growth strategy by investing in new and existing Affiliates, as well as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AMG’s strategic capabilities, we expect our business mix to further evolve and diversify, expanding our exposure to in-demand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strategies in both private markets and liquid alternatives, and better positioning AMG to continue to benefit from industry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growth trends.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following tables present changes in our assets under management by strategy 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w:t>
      </w:r>
    </w:p>
    <w:tbl>
      <w:tblPr>
        <w:tblW w:w="7984" w:type="dxa"/>
        <w:jc w:val="left"/>
        <w:tblInd w:w="0" w:type="dxa"/>
        <w:tblLayout w:type="fixed"/>
        <w:tblCellMar>
          <w:top w:w="28" w:type="dxa"/>
          <w:left w:w="28" w:type="dxa"/>
          <w:bottom w:w="28" w:type="dxa"/>
          <w:right w:w="28" w:type="dxa"/>
        </w:tblCellMar>
      </w:tblPr>
      <w:tblGrid>
        <w:gridCol w:w="3166"/>
        <w:gridCol w:w="109"/>
        <w:gridCol w:w="706"/>
        <w:gridCol w:w="109"/>
        <w:gridCol w:w="991"/>
        <w:gridCol w:w="109"/>
        <w:gridCol w:w="684"/>
        <w:gridCol w:w="110"/>
        <w:gridCol w:w="1170"/>
        <w:gridCol w:w="109"/>
        <w:gridCol w:w="721"/>
      </w:tblGrid>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Differentiated Long-Only</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billions)</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Private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Markets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Liquid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Equities</w:t>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Multi-Asset &amp;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Fixed Income</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$297.8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$882.0</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Client cash inflows and commitments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62.6</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Client cash outflows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(49.7)</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client cash flows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(14.5)</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w:t>
            </w:r>
          </w:p>
        </w:tc>
      </w:tr>
      <w:tr>
        <w:trPr/>
        <w:tc>
          <w:tcPr>
            <w:tcW w:w="3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Affiliate transactions</w:t>
            </w:r>
            <w:r>
              <w:rPr>
                <w:rFonts w:ascii="Times New Roman;serif" w:hAnsi="Times New Roman;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Market changes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39.1</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55.9</w:t>
            </w:r>
          </w:p>
        </w:tc>
      </w:tr>
      <w:tr>
        <w:trPr/>
        <w:tc>
          <w:tcPr>
            <w:tcW w:w="3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Foreign exchange</w:t>
            </w:r>
            <w:r>
              <w:rPr>
                <w:rFonts w:ascii="Times New Roman;serif" w:hAnsi="Times New Roman;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Realizations and distributions (net)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r>
      <w:tr>
        <w:trPr/>
        <w:tc>
          <w:tcPr>
            <w:tcW w:w="3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w:t>
            </w:r>
            <w:r>
              <w:rPr>
                <w:rFonts w:ascii="Times New Roman;serif" w:hAnsi="Times New Roman;serif"/>
                <w:b w:val="false"/>
                <w:i w:val="false"/>
                <w:caps w:val="false"/>
                <w:smallCaps w:val="false"/>
                <w:sz w:val="1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$321.9</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$942.4</w:t>
            </w:r>
          </w:p>
        </w:tc>
      </w:tr>
    </w:tbl>
    <w:tbl>
      <w:tblPr>
        <w:tblW w:w="7875" w:type="dxa"/>
        <w:jc w:val="left"/>
        <w:tblInd w:w="0" w:type="dxa"/>
        <w:tblLayout w:type="fixed"/>
        <w:tblCellMar>
          <w:top w:w="28" w:type="dxa"/>
          <w:left w:w="28" w:type="dxa"/>
          <w:bottom w:w="28" w:type="dxa"/>
          <w:right w:w="28" w:type="dxa"/>
        </w:tblCellMar>
      </w:tblPr>
      <w:tblGrid>
        <w:gridCol w:w="3166"/>
        <w:gridCol w:w="706"/>
        <w:gridCol w:w="109"/>
        <w:gridCol w:w="991"/>
        <w:gridCol w:w="109"/>
        <w:gridCol w:w="684"/>
        <w:gridCol w:w="110"/>
        <w:gridCol w:w="1170"/>
        <w:gridCol w:w="109"/>
        <w:gridCol w:w="721"/>
      </w:tblGrid>
      <w:tr>
        <w:trPr/>
        <w:tc>
          <w:tcPr>
            <w:tcW w:w="31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Differentiated Long-Only</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billions)</w:t>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Private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Markets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Liquid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Equities</w:t>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Multi-Asset &amp;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Fixed Income</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December 31, 2025</w:t>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$312.1</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$813.3</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Client cash inflows and commitments</w:t>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125.4</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Client cash outflows</w:t>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(89.9)</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client cash flows</w:t>
            </w:r>
          </w:p>
        </w:tc>
        <w:tc>
          <w:tcPr>
            <w:tcW w:w="70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35.5</w:t>
            </w:r>
          </w:p>
        </w:tc>
      </w:tr>
      <w:tr>
        <w:trPr/>
        <w:tc>
          <w:tcPr>
            <w:tcW w:w="3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New investments</w:t>
            </w:r>
            <w:r>
              <w:rPr>
                <w:rFonts w:ascii="Times New Roman;serif" w:hAnsi="Times New Roman;serif"/>
                <w:b w:val="false"/>
                <w:i w:val="false"/>
                <w:caps w:val="false"/>
                <w:smallCaps w:val="false"/>
                <w:sz w:val="10"/>
              </w:rPr>
              <w:t>(4)</w:t>
            </w:r>
            <w:r>
              <w:rPr>
                <w:caps w:val="false"/>
                <w:smallCaps w:val="false"/>
              </w:rPr>
              <w:t xml:space="preserve"> </w:t>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59.8</w:t>
            </w:r>
          </w:p>
        </w:tc>
      </w:tr>
      <w:tr>
        <w:trPr/>
        <w:tc>
          <w:tcPr>
            <w:tcW w:w="31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Affiliate transactions</w:t>
            </w:r>
            <w:r>
              <w:rPr>
                <w:rFonts w:ascii="Times New Roman;serif" w:hAnsi="Times New Roman;serif"/>
                <w:b w:val="false"/>
                <w:i w:val="false"/>
                <w:caps w:val="false"/>
                <w:smallCaps w:val="false"/>
                <w:sz w:val="10"/>
              </w:rPr>
              <w:t>(1)</w:t>
            </w:r>
          </w:p>
        </w:tc>
        <w:tc>
          <w:tcPr>
            <w:tcW w:w="70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Market changes</w:t>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r>
      <w:tr>
        <w:trPr/>
        <w:tc>
          <w:tcPr>
            <w:tcW w:w="31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Foreign exchange</w:t>
            </w:r>
            <w:r>
              <w:rPr>
                <w:rFonts w:ascii="Times New Roman;serif" w:hAnsi="Times New Roman;serif"/>
                <w:b w:val="false"/>
                <w:i w:val="false"/>
                <w:caps w:val="false"/>
                <w:smallCaps w:val="false"/>
                <w:sz w:val="10"/>
              </w:rPr>
              <w:t>(2)</w:t>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Realizations and distributions (net)</w:t>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r>
      <w:tr>
        <w:trPr/>
        <w:tc>
          <w:tcPr>
            <w:tcW w:w="31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w:t>
            </w:r>
            <w:r>
              <w:rPr>
                <w:rFonts w:ascii="Times New Roman;serif" w:hAnsi="Times New Roman;serif"/>
                <w:b w:val="false"/>
                <w:i w:val="false"/>
                <w:caps w:val="false"/>
                <w:smallCaps w:val="false"/>
                <w:sz w:val="10"/>
              </w:rPr>
              <w:t>(3)</w:t>
            </w:r>
          </w:p>
        </w:tc>
        <w:tc>
          <w:tcPr>
            <w:tcW w:w="70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30, 2026</w:t>
            </w:r>
          </w:p>
        </w:tc>
        <w:tc>
          <w:tcPr>
            <w:tcW w:w="70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$321.9</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$942.4</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 xml:space="preserve">Attributable to the </w:t>
      </w:r>
      <w:r>
        <w:rPr>
          <w:rFonts w:ascii="Times New Roman;serif" w:hAnsi="Times New Roman;serif"/>
          <w:b w:val="false"/>
          <w:i w:val="false"/>
          <w:caps w:val="false"/>
          <w:smallCaps w:val="false"/>
          <w:strike w:val="false"/>
          <w:dstrike w:val="false"/>
          <w:sz w:val="20"/>
          <w:u w:val="none"/>
          <w:effect w:val="none"/>
        </w:rPr>
        <w:t>myCIO Transaction</w:t>
      </w:r>
      <w:r>
        <w:rPr>
          <w:caps w:val="false"/>
          <w:smallCaps w:val="false"/>
          <w:sz w:val="24"/>
        </w:rPr>
        <w:t xml:space="preserve"> </w:t>
      </w:r>
      <w:r>
        <w:rPr>
          <w:rFonts w:ascii="Times New Roman;serif" w:hAnsi="Times New Roman;serif"/>
          <w:b w:val="false"/>
          <w:i w:val="false"/>
          <w:caps w:val="false"/>
          <w:smallCaps w:val="false"/>
          <w:sz w:val="20"/>
        </w:rPr>
        <w:t>as of the closing date.</w:t>
      </w:r>
    </w:p>
    <w:p>
      <w:pPr>
        <w:pStyle w:val="TextBody"/>
        <w:bidi w:val="0"/>
        <w:spacing w:lineRule="atLeast" w:line="200" w:before="0" w:after="0"/>
        <w:jc w:val="left"/>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Foreign exchange reflects the impact of translating the assets under management of our Affiliates whose functional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currency is not the U.S. dollar into our functional currency.</w:t>
      </w:r>
    </w:p>
    <w:p>
      <w:pPr>
        <w:pStyle w:val="TextBody"/>
        <w:bidi w:val="0"/>
        <w:spacing w:lineRule="atLeast" w:line="200" w:before="0" w:after="0"/>
        <w:jc w:val="left"/>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z w:val="20"/>
        </w:rPr>
        <w:t>Other includes product transitions and reclassifications.</w:t>
      </w:r>
    </w:p>
    <w:p>
      <w:pPr>
        <w:pStyle w:val="TextBody"/>
        <w:bidi w:val="0"/>
        <w:spacing w:lineRule="atLeast" w:line="200" w:before="0" w:after="0"/>
        <w:jc w:val="left"/>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z w:val="20"/>
        </w:rPr>
        <w:t>Attributable to BBH Credit Partners and HighBrook as of their respective closing dates.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present performance of our investment strategies, where available, measured by the percentage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under management ahead of their relevant benchmark:</w:t>
      </w:r>
    </w:p>
    <w:tbl>
      <w:tblPr>
        <w:tblW w:w="6346" w:type="dxa"/>
        <w:jc w:val="left"/>
        <w:tblInd w:w="0" w:type="dxa"/>
        <w:tblLayout w:type="fixed"/>
        <w:tblCellMar>
          <w:top w:w="28" w:type="dxa"/>
          <w:left w:w="28" w:type="dxa"/>
          <w:bottom w:w="28" w:type="dxa"/>
          <w:right w:w="28" w:type="dxa"/>
        </w:tblCellMar>
      </w:tblPr>
      <w:tblGrid>
        <w:gridCol w:w="1486"/>
        <w:gridCol w:w="109"/>
        <w:gridCol w:w="1066"/>
        <w:gridCol w:w="109"/>
        <w:gridCol w:w="1516"/>
        <w:gridCol w:w="109"/>
        <w:gridCol w:w="1951"/>
      </w:tblGrid>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AUM Weight</w:t>
            </w:r>
          </w:p>
        </w:tc>
        <w:tc>
          <w:tcPr>
            <w:tcW w:w="109" w:type="dxa"/>
            <w:tcBorders/>
            <w:vAlign w:val="center"/>
          </w:tcPr>
          <w:p>
            <w:pPr>
              <w:pStyle w:val="TableContents"/>
              <w:bidi w:val="0"/>
              <w:spacing w:before="0" w:after="283"/>
              <w:jc w:val="left"/>
              <w:rPr>
                <w:sz w:val="4"/>
                <w:szCs w:val="4"/>
              </w:rPr>
            </w:pPr>
            <w:r>
              <w:rPr>
                <w:sz w:val="4"/>
                <w:szCs w:val="4"/>
              </w:rPr>
            </w:r>
          </w:p>
        </w:tc>
        <w:tc>
          <w:tcPr>
            <w:tcW w:w="35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erif" w:hAnsi="Times New Roman;serif"/>
                <w:b/>
                <w:i w:val="false"/>
                <w:caps w:val="false"/>
                <w:smallCaps w:val="false"/>
                <w:sz w:val="16"/>
              </w:rPr>
              <w:t>% of AUM Ahead of Benchmark</w:t>
            </w:r>
            <w:r>
              <w:rPr>
                <w:rFonts w:ascii="Times New Roman;serif" w:hAnsi="Times New Roman;serif"/>
                <w:b/>
                <w:i w:val="false"/>
                <w:caps w:val="false"/>
                <w:smallCaps w:val="false"/>
                <w:sz w:val="10"/>
              </w:rPr>
              <w:t>(1)</w:t>
            </w:r>
          </w:p>
        </w:tc>
      </w:tr>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IRR Latest Vintage</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IRR Last Three Vintages</w:t>
            </w:r>
          </w:p>
        </w:tc>
      </w:tr>
      <w:tr>
        <w:trPr/>
        <w:tc>
          <w:tcPr>
            <w:tcW w:w="14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Private markets</w:t>
            </w:r>
            <w:r>
              <w:rPr>
                <w:rFonts w:ascii="Times New Roman;serif" w:hAnsi="Times New Roman;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75 %</w:t>
            </w:r>
          </w:p>
        </w:tc>
      </w:tr>
    </w:tbl>
    <w:tbl>
      <w:tblPr>
        <w:tblW w:w="6535" w:type="dxa"/>
        <w:jc w:val="left"/>
        <w:tblInd w:w="0" w:type="dxa"/>
        <w:tblLayout w:type="fixed"/>
        <w:tblCellMar>
          <w:top w:w="28" w:type="dxa"/>
          <w:left w:w="28" w:type="dxa"/>
          <w:bottom w:w="28" w:type="dxa"/>
          <w:right w:w="28" w:type="dxa"/>
        </w:tblCellMar>
      </w:tblPr>
      <w:tblGrid>
        <w:gridCol w:w="2611"/>
        <w:gridCol w:w="109"/>
        <w:gridCol w:w="1066"/>
        <w:gridCol w:w="109"/>
        <w:gridCol w:w="733"/>
        <w:gridCol w:w="136"/>
        <w:gridCol w:w="733"/>
        <w:gridCol w:w="136"/>
        <w:gridCol w:w="902"/>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AUM Weight</w:t>
            </w:r>
          </w:p>
        </w:tc>
        <w:tc>
          <w:tcPr>
            <w:tcW w:w="109" w:type="dxa"/>
            <w:tcBorders/>
            <w:vAlign w:val="center"/>
          </w:tcPr>
          <w:p>
            <w:pPr>
              <w:pStyle w:val="TableContents"/>
              <w:bidi w:val="0"/>
              <w:spacing w:before="0" w:after="283"/>
              <w:jc w:val="left"/>
              <w:rPr>
                <w:sz w:val="4"/>
                <w:szCs w:val="4"/>
              </w:rPr>
            </w:pPr>
            <w:r>
              <w:rPr>
                <w:sz w:val="4"/>
                <w:szCs w:val="4"/>
              </w:rPr>
            </w:r>
          </w:p>
        </w:tc>
        <w:tc>
          <w:tcPr>
            <w:tcW w:w="2640"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erif" w:hAnsi="Times New Roman;serif"/>
                <w:b/>
                <w:i w:val="false"/>
                <w:caps w:val="false"/>
                <w:smallCaps w:val="false"/>
                <w:sz w:val="16"/>
              </w:rPr>
              <w:t>% of AUM Ahead of Benchmark</w:t>
            </w:r>
            <w:r>
              <w:rPr>
                <w:rFonts w:ascii="Times New Roman;serif" w:hAnsi="Times New Roman;serif"/>
                <w:b/>
                <w:i w:val="false"/>
                <w:caps w:val="false"/>
                <w:smallCaps w:val="false"/>
                <w:sz w:val="10"/>
              </w:rPr>
              <w:t>(1)</w:t>
            </w:r>
          </w:p>
        </w:tc>
      </w:tr>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3-year</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5-year</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10-year</w:t>
            </w:r>
          </w:p>
        </w:tc>
      </w:tr>
      <w:tr>
        <w:trPr/>
        <w:tc>
          <w:tcPr>
            <w:tcW w:w="26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Liquid alternatives</w:t>
            </w:r>
            <w:r>
              <w:rPr>
                <w:rFonts w:ascii="Times New Roman;serif" w:hAnsi="Times New Roman;serif"/>
                <w:b w:val="false"/>
                <w:i w:val="false"/>
                <w:caps w:val="false"/>
                <w:smallCaps w:val="false"/>
                <w:sz w:val="1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91 %</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93 %</w:t>
            </w:r>
          </w:p>
        </w:tc>
      </w:tr>
      <w:tr>
        <w:trPr/>
        <w:tc>
          <w:tcPr>
            <w:tcW w:w="26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Equities</w:t>
            </w:r>
            <w:r>
              <w:rPr>
                <w:rFonts w:ascii="Times New Roman;serif" w:hAnsi="Times New Roman;serif"/>
                <w:b w:val="false"/>
                <w:i w:val="false"/>
                <w:caps w:val="false"/>
                <w:smallCaps w:val="false"/>
                <w:sz w:val="10"/>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43 %</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7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45 %</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62 %</w:t>
            </w:r>
          </w:p>
        </w:tc>
      </w:tr>
      <w:tr>
        <w:trPr/>
        <w:tc>
          <w:tcPr>
            <w:tcW w:w="26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Multi-asset and fixed income</w:t>
            </w:r>
            <w:r>
              <w:rPr>
                <w:rFonts w:ascii="Times New Roman;serif" w:hAnsi="Times New Roman;serif"/>
                <w:b w:val="false"/>
                <w:i w:val="false"/>
                <w:caps w:val="false"/>
                <w:smallCaps w:val="false"/>
                <w:sz w:val="1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 xml:space="preserve">Past performance is not indicative of future results.  Performance and AUM information is as of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and is based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data available at the time of calculation.  Product returns are sourced from Affiliates while benchmark returns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sourced via third-party subscriptions.  </w:t>
      </w:r>
    </w:p>
    <w:p>
      <w:pPr>
        <w:pStyle w:val="TextBody"/>
        <w:bidi w:val="0"/>
        <w:spacing w:lineRule="atLeast" w:line="200" w:before="0" w:after="0"/>
        <w:jc w:val="left"/>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For private markets products, performance is reported as the percentage of assets that have outperformed benchmarks on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since-inception internal rate of return basis.  Benchmarks utilized include a combination of public market equivalents, peer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medians, and absolute returns where benchmarks are not available.  For purposes of investment performance comparisons,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latest vintage comparison includes the most recent vehicles and strategies (traditional long-duration investment funds,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customized vehicles, and other evergreen vehicles and product structures) where meaningful performance is available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calculable.  In order to illustrate the performance of our private markets product category over a longer period of history,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last three vintages comparison incorporates the latest vintage vehicles and the prior two vintages for traditional long-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duration investment funds, as well as additional vehicles and strategies launched during the equivalent time period as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last three vintages of traditional long-duration investment funds.  Due to the nature of these investments and vehicles,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reported performance is typically on a three- to six-month lag basis.</w:t>
      </w:r>
    </w:p>
    <w:p>
      <w:pPr>
        <w:pStyle w:val="TextBody"/>
        <w:bidi w:val="0"/>
        <w:spacing w:lineRule="atLeast" w:line="200" w:before="0" w:after="0"/>
        <w:jc w:val="left"/>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z w:val="20"/>
        </w:rPr>
        <w:t xml:space="preserve">For liquid alternative and equity products, performance is reported as the percentage of assets that have outperformed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benchmarks across the indicated periods, and excludes market-hedging products.  For purposes of investment performance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comparisons, products are an aggregation of portfolios (separate accounts, investment funds, and other products) that 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represent a particular investment objective, using the most representative portfolio for the performance comparison.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 is presented for products with a three-, five-, and/or ten-year track record and is measured on a consistent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relative to the most appropriate benchmarks.  Benchmark appropriateness is generally reviewed annually to reflect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changes in how underlying portfolios/mandates are managed.  Product and benchmark performance is reflected as total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return and is annualized.  Reported product performance is gross-of-fees for institutional and high-net-worth separate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and generally net-of-fees across retail funds and other commingled vehicles such as hedge funds.</w:t>
      </w:r>
    </w:p>
    <w:p>
      <w:pPr>
        <w:pStyle w:val="TextBody"/>
        <w:bidi w:val="0"/>
        <w:spacing w:lineRule="atLeast" w:line="200" w:before="0" w:after="0"/>
        <w:jc w:val="left"/>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z w:val="20"/>
        </w:rPr>
        <w:t xml:space="preserve">Multi-asset and fixed income products are mainly our wealth management and solutions offerings.  These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are primarily customized toward wealth preservation, estate planning, and liability and tax management,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therefore are typically not measured against a benchmark.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Aggregate Fees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Aggregate fees</w:t>
      </w:r>
      <w:r>
        <w:rPr>
          <w:caps w:val="false"/>
          <w:smallCaps w:val="false"/>
          <w:sz w:val="24"/>
        </w:rPr>
        <w:t xml:space="preserve"> </w:t>
      </w:r>
      <w:r>
        <w:rPr>
          <w:rFonts w:ascii="Times New Roman;serif" w:hAnsi="Times New Roman;serif"/>
          <w:b w:val="false"/>
          <w:i w:val="false"/>
          <w:caps w:val="false"/>
          <w:smallCaps w:val="false"/>
          <w:sz w:val="20"/>
        </w:rPr>
        <w:t xml:space="preserve">consist of asset- and performance-based fees of our consolidated and equity method Affiliates. </w:t>
      </w:r>
      <w:r>
        <w:rPr>
          <w:rFonts w:ascii="Times New Roman;serif" w:hAnsi="Times New Roman;serif"/>
          <w:b w:val="false"/>
          <w:i w:val="false"/>
          <w:caps w:val="false"/>
          <w:smallCaps w:val="false"/>
          <w:strike w:val="false"/>
          <w:dstrike w:val="false"/>
          <w:sz w:val="20"/>
          <w:u w:val="none"/>
          <w:effect w:val="none"/>
        </w:rPr>
        <w:t xml:space="preserve">In the case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our equity method Affiliates, asset- and performance-based fees are presented net of certain expense reimbursements paid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underlying products.</w:t>
      </w:r>
      <w:r>
        <w:rPr>
          <w:caps w:val="false"/>
          <w:smallCaps w:val="false"/>
          <w:sz w:val="24"/>
        </w:rPr>
        <w:t xml:space="preserve"> </w:t>
      </w:r>
      <w:r>
        <w:rPr>
          <w:rFonts w:ascii="Times New Roman;serif" w:hAnsi="Times New Roman;serif"/>
          <w:b w:val="false"/>
          <w:i w:val="false"/>
          <w:caps w:val="false"/>
          <w:smallCaps w:val="false"/>
          <w:sz w:val="20"/>
        </w:rPr>
        <w:t xml:space="preserve">Asset-based fees include advisory and other fees earned by our Affiliates for services provided to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clients and are typically determined as a percentage of the value of a client’s assets under management, generally inclusive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uncalled commitments.  Asset-based fees are generally impacted by the level of average assets under management and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composition of these assets across our strategies with different asset-based fee ratios.  Our asset-based fee ratio is calculated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asset-based fees divided by average assets under management.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some cases, if product returns exceed certain performance thresholds, we will participate in performance-based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Performance-based fees are based on investment performance, typically on an absolute basis or relative to a benchmark or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hurdle rate, and are generally recognized when it is improbable that there will be a significant reversal in the amount of revenue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recognized.  Performance-based fees are generally recognized less frequently than asset-based fees and will vary from period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period because they inherently depend on investment performance.  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approximately </w:t>
      </w:r>
      <w:r>
        <w:rPr>
          <w:rFonts w:ascii="Times New Roman;serif" w:hAnsi="Times New Roman;serif"/>
          <w:b w:val="false"/>
          <w:i w:val="false"/>
          <w:caps w:val="false"/>
          <w:smallCaps w:val="false"/>
          <w:strike w:val="false"/>
          <w:dstrike w:val="false"/>
          <w:sz w:val="20"/>
          <w:u w:val="none"/>
          <w:effect w:val="none"/>
        </w:rPr>
        <w:t>27%</w:t>
      </w:r>
      <w:r>
        <w:rPr>
          <w:caps w:val="false"/>
          <w:smallCaps w:val="false"/>
          <w:sz w:val="24"/>
        </w:rPr>
        <w:t xml:space="preserve"> </w:t>
      </w:r>
      <w:r>
        <w:rPr>
          <w:rFonts w:ascii="Times New Roman;serif" w:hAnsi="Times New Roman;serif"/>
          <w:b w:val="false"/>
          <w:i w:val="false"/>
          <w:caps w:val="false"/>
          <w:smallCaps w:val="false"/>
          <w:sz w:val="20"/>
        </w:rPr>
        <w:t xml:space="preserve">of our total assets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under management could potentially earn performance-based fees.  These percentages were approximately </w:t>
      </w:r>
      <w:r>
        <w:rPr>
          <w:rFonts w:ascii="Times New Roman;serif" w:hAnsi="Times New Roman;serif"/>
          <w:b w:val="false"/>
          <w:i w:val="false"/>
          <w:caps w:val="false"/>
          <w:smallCaps w:val="false"/>
          <w:strike w:val="false"/>
          <w:dstrike w:val="false"/>
          <w:sz w:val="20"/>
          <w:u w:val="none"/>
          <w:effect w:val="none"/>
        </w:rPr>
        <w:t>12%</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39%</w:t>
      </w:r>
      <w:r>
        <w:rPr>
          <w:caps w:val="false"/>
          <w:smallCaps w:val="false"/>
          <w:sz w:val="24"/>
        </w:rPr>
        <w:t xml:space="preserve"> </w:t>
      </w:r>
      <w:r>
        <w:rPr>
          <w:rFonts w:ascii="Times New Roman;serif" w:hAnsi="Times New Roman;serif"/>
          <w:b w:val="false"/>
          <w:i w:val="false"/>
          <w:caps w:val="false"/>
          <w:smallCaps w:val="false"/>
          <w:sz w:val="20"/>
        </w:rPr>
        <w:t xml:space="preserve">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under management for our consolidated Affiliates and Affiliates accounted for under the equity method, respectively.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anticipate performance-based fees will be a recurring component of our aggregate fees; however we do not anticipate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fees to be a significant component of our Consolidated revenue as these fees are predominately earned by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accounted for under the equity method.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Aggregate fees </w:t>
      </w:r>
      <w:r>
        <w:rPr>
          <w:rFonts w:ascii="Times New Roman;serif" w:hAnsi="Times New Roman;serif"/>
          <w:b w:val="false"/>
          <w:i w:val="false"/>
          <w:caps w:val="false"/>
          <w:smallCaps w:val="false"/>
          <w:sz w:val="20"/>
        </w:rPr>
        <w:t xml:space="preserve">were </w:t>
      </w:r>
      <w:r>
        <w:rPr>
          <w:rFonts w:ascii="Times New Roman;serif" w:hAnsi="Times New Roman;serif"/>
          <w:b w:val="false"/>
          <w:i w:val="false"/>
          <w:caps w:val="false"/>
          <w:smallCaps w:val="false"/>
          <w:strike w:val="false"/>
          <w:dstrike w:val="false"/>
          <w:sz w:val="20"/>
          <w:u w:val="none"/>
          <w:effect w:val="none"/>
        </w:rPr>
        <w:t>$1,661.5 million</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an </w:t>
      </w: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$488.0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42%</w:t>
      </w:r>
      <w:r>
        <w:rPr>
          <w:caps w:val="false"/>
          <w:smallCaps w:val="false"/>
          <w:sz w:val="24"/>
        </w:rPr>
        <w:t xml:space="preserve"> </w:t>
      </w:r>
      <w:r>
        <w:rPr>
          <w:rFonts w:ascii="Times New Roman;serif" w:hAnsi="Times New Roman;serif"/>
          <w:b w:val="false"/>
          <w:i w:val="false"/>
          <w:caps w:val="false"/>
          <w:smallCaps w:val="false"/>
          <w:sz w:val="20"/>
        </w:rPr>
        <w:t xml:space="preserve">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compared to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2025</w:t>
      </w:r>
      <w:r>
        <w:rPr>
          <w:rFonts w:ascii="Times New Roman;serif" w:hAnsi="Times New Roman;serif"/>
          <w:b w:val="false"/>
          <w:i w:val="false"/>
          <w:caps w:val="false"/>
          <w:smallCaps w:val="false"/>
          <w:sz w:val="20"/>
        </w:rPr>
        <w:t xml:space="preserve">.  The increase in aggregate fees was due to a $437.5 million or 37% increase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asset-based fees and a $50.5 million or 5% increase from performance-based fees, primarily in private markets strategies.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increase in asset-based fees was principally due to an increase in our Affiliates’ average assets under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in liquid alternative and multi-asset and fixed income strategies, including the impact of our investments in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and market appreciation, and changes in the composition of our assets under management, including net client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flows from our Affiliates managing alternative strategies, which typically have higher fee rates.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Aggregate fees were </w:t>
      </w:r>
      <w:r>
        <w:rPr>
          <w:rFonts w:ascii="Times New Roman;serif" w:hAnsi="Times New Roman;serif"/>
          <w:b w:val="false"/>
          <w:i w:val="false"/>
          <w:caps w:val="false"/>
          <w:smallCaps w:val="false"/>
          <w:strike w:val="false"/>
          <w:dstrike w:val="false"/>
          <w:sz w:val="20"/>
          <w:u w:val="none"/>
          <w:effect w:val="none"/>
        </w:rPr>
        <w:t>$3,571.4 million</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an </w:t>
      </w: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$1,127.5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46%</w:t>
      </w:r>
      <w:r>
        <w:rPr>
          <w:caps w:val="false"/>
          <w:smallCaps w:val="false"/>
          <w:sz w:val="24"/>
        </w:rPr>
        <w:t xml:space="preserve"> </w:t>
      </w:r>
      <w:r>
        <w:rPr>
          <w:rFonts w:ascii="Times New Roman;serif" w:hAnsi="Times New Roman;serif"/>
          <w:b w:val="false"/>
          <w:i w:val="false"/>
          <w:caps w:val="false"/>
          <w:smallCaps w:val="false"/>
          <w:sz w:val="20"/>
        </w:rPr>
        <w:t xml:space="preserve">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compared to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2025</w:t>
      </w:r>
      <w:r>
        <w:rPr>
          <w:rFonts w:ascii="Times New Roman;serif" w:hAnsi="Times New Roman;serif"/>
          <w:b w:val="false"/>
          <w:i w:val="false"/>
          <w:caps w:val="false"/>
          <w:smallCaps w:val="false"/>
          <w:sz w:val="20"/>
        </w:rPr>
        <w:t xml:space="preserve">.  The increase in aggregate fees was due to an $838.0 million or 34% increase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asset-based fees and a $289.5 million or 12% increase from performance-based fees, primarily in liquid alternative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strategies.  The increase in asset-based fees was principally due to an increase in our Affiliates’ average assets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primarily in liquid alternative and multi-asset and fixed income strategies, including the impact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investments in new Affiliates and market appreciation, and changes in the composition of our assets under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including net client cash flows from our Affiliates managing alternative strategies, which typically have higher fee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Financial and Supplemental Financial Performance Measures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key financial and supplemental financial performance measures:</w:t>
      </w:r>
    </w:p>
    <w:tbl>
      <w:tblPr>
        <w:tblW w:w="9738" w:type="dxa"/>
        <w:jc w:val="left"/>
        <w:tblInd w:w="0" w:type="dxa"/>
        <w:tblLayout w:type="fixed"/>
        <w:tblCellMar>
          <w:top w:w="28" w:type="dxa"/>
          <w:left w:w="28" w:type="dxa"/>
          <w:bottom w:w="28" w:type="dxa"/>
          <w:right w:w="28" w:type="dxa"/>
        </w:tblCellMar>
      </w:tblPr>
      <w:tblGrid>
        <w:gridCol w:w="3736"/>
        <w:gridCol w:w="109"/>
        <w:gridCol w:w="805"/>
        <w:gridCol w:w="129"/>
        <w:gridCol w:w="805"/>
        <w:gridCol w:w="109"/>
        <w:gridCol w:w="871"/>
        <w:gridCol w:w="109"/>
        <w:gridCol w:w="944"/>
        <w:gridCol w:w="152"/>
        <w:gridCol w:w="944"/>
        <w:gridCol w:w="109"/>
        <w:gridCol w:w="916"/>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Ended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3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$235.1</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r>
      <w:tr>
        <w:trPr/>
        <w:tc>
          <w:tcPr>
            <w:tcW w:w="3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w:t>
            </w:r>
          </w:p>
        </w:tc>
      </w:tr>
      <w:tr>
        <w:trPr/>
        <w:tc>
          <w:tcPr>
            <w:tcW w:w="37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Adjusted EBITDA (controlling interest)</w:t>
            </w:r>
            <w:r>
              <w:rPr>
                <w:rFonts w:ascii="Times New Roman;serif" w:hAnsi="Times New Roman;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447.9</w:t>
            </w:r>
          </w:p>
        </w:tc>
        <w:tc>
          <w:tcPr>
            <w:tcW w:w="152"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r>
      <w:tr>
        <w:trPr/>
        <w:tc>
          <w:tcPr>
            <w:tcW w:w="37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Economic net income (controlling interest)</w:t>
            </w:r>
            <w:r>
              <w:rPr>
                <w:rFonts w:ascii="Times New Roman;serif" w:hAnsi="Times New Roman;serif"/>
                <w:b w:val="false"/>
                <w:i w:val="false"/>
                <w:caps w:val="false"/>
                <w:smallCaps w:val="false"/>
                <w:sz w:val="1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159.2</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317.9</w:t>
            </w:r>
          </w:p>
        </w:tc>
        <w:tc>
          <w:tcPr>
            <w:tcW w:w="152"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r>
    </w:tbl>
    <w:p>
      <w:pPr>
        <w:pStyle w:val="TextBody"/>
        <w:bidi w:val="0"/>
        <w:spacing w:lineRule="atLeast" w:line="200" w:before="0" w:after="0"/>
        <w:jc w:val="left"/>
        <w:rPr/>
      </w:pPr>
      <w:r>
        <w:rPr>
          <w:rFonts w:ascii="Times New Roman;serif" w:hAnsi="Times New Roman;serif"/>
          <w:b w:val="false"/>
          <w:i w:val="false"/>
          <w:caps w:val="false"/>
          <w:smallCaps w:val="false"/>
          <w:sz w:val="16"/>
        </w:rPr>
        <w:t>___________________________</w:t>
      </w:r>
      <w:r>
        <w:rPr>
          <w:caps w:val="false"/>
          <w:smallCaps w:val="false"/>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Percent change is not meaningful.</w:t>
      </w:r>
    </w:p>
    <w:p>
      <w:pPr>
        <w:pStyle w:val="TextBody"/>
        <w:bidi w:val="0"/>
        <w:spacing w:lineRule="atLeast" w:line="200" w:before="0" w:after="0"/>
        <w:jc w:val="left"/>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Adjusted EBITDA (controlling interest) and Economic net income (controlling interest) are non-GAAP performance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measures and are discussed in “Supplemental Financial Performance Measures.”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Net income (controlling interest)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$101.6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This increase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primarily due to the impact of a $147.5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million increase in Consolidated revenue, a $59.3 million increase in Equity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 (net), and a $38.3 million decrease in Affiliate equity expense attributable to the controlling interest,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partially offset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$32.4 million increase in Income tax expense attributable to the controlling interest.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Net income (controlling interest)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$139.7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89%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This increase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was primarily due to the impact of a $195.8 million increase in Consolidated revenue and a $131.3 million increase in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method income (net), partially offset by a $53.3 million increase in Income tax expense attributable to the controlling interest.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EBITDA (controlling interest) is an important supplemental financial performance measure for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Adjusted EBITDA (controlling 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$96.3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44%</w:t>
      </w:r>
      <w:r>
        <w:rPr>
          <w:caps w:val="false"/>
          <w:smallCaps w:val="false"/>
          <w:sz w:val="24"/>
        </w:rPr>
        <w:t xml:space="preserve"> </w:t>
      </w:r>
      <w:r>
        <w:rPr>
          <w:rFonts w:ascii="Times New Roman;serif" w:hAnsi="Times New Roman;serif"/>
          <w:b w:val="false"/>
          <w:i w:val="false"/>
          <w:caps w:val="false"/>
          <w:smallCaps w:val="false"/>
          <w:sz w:val="20"/>
        </w:rPr>
        <w:t>f</w:t>
      </w:r>
      <w:r>
        <w:rPr>
          <w:rFonts w:ascii="Times New Roman;serif" w:hAnsi="Times New Roman;serif"/>
          <w:b w:val="false"/>
          <w:i w:val="false"/>
          <w:caps w:val="false"/>
          <w:smallCaps w:val="false"/>
          <w:strike w:val="false"/>
          <w:dstrike w:val="false"/>
          <w:sz w:val="20"/>
          <w:u w:val="none"/>
          <w:effect w:val="none"/>
        </w:rPr>
        <w:t>or</w:t>
      </w:r>
      <w:r>
        <w:rPr>
          <w:caps w:val="false"/>
          <w:smallCaps w:val="false"/>
          <w:sz w:val="24"/>
        </w:rPr>
        <w:t xml:space="preserve"> </w:t>
      </w:r>
      <w:r>
        <w:rPr>
          <w:rFonts w:ascii="Times New Roman;serif" w:hAnsi="Times New Roman;serif"/>
          <w:b w:val="false"/>
          <w:i w:val="false"/>
          <w:caps w:val="false"/>
          <w:smallCaps w:val="false"/>
          <w:sz w:val="20"/>
        </w:rPr>
        <w:t xml:space="preserve">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primarily due to a </w:t>
      </w:r>
      <w:r>
        <w:rPr>
          <w:rFonts w:ascii="Times New Roman;serif" w:hAnsi="Times New Roman;serif"/>
          <w:b w:val="false"/>
          <w:i w:val="false"/>
          <w:caps w:val="false"/>
          <w:smallCaps w:val="false"/>
          <w:strike w:val="false"/>
          <w:dstrike w:val="false"/>
          <w:sz w:val="20"/>
          <w:u w:val="none"/>
          <w:effect w:val="none"/>
        </w:rPr>
        <w:t>$488.0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42%</w:t>
      </w:r>
      <w:r>
        <w:rPr>
          <w:caps w:val="false"/>
          <w:smallCaps w:val="false"/>
          <w:sz w:val="24"/>
        </w:rPr>
        <w:t xml:space="preserve"> </w:t>
      </w:r>
      <w:r>
        <w:rPr>
          <w:rFonts w:ascii="Times New Roman;serif" w:hAnsi="Times New Roman;serif"/>
          <w:b w:val="false"/>
          <w:i w:val="false"/>
          <w:caps w:val="false"/>
          <w:smallCaps w:val="false"/>
          <w:sz w:val="20"/>
        </w:rPr>
        <w:t>increase in aggregate fees.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Adjusted EBITDA (controlling 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$185.4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41%</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primarily due to a </w:t>
      </w:r>
      <w:r>
        <w:rPr>
          <w:rFonts w:ascii="Times New Roman;serif" w:hAnsi="Times New Roman;serif"/>
          <w:b w:val="false"/>
          <w:i w:val="false"/>
          <w:caps w:val="false"/>
          <w:smallCaps w:val="false"/>
          <w:strike w:val="false"/>
          <w:dstrike w:val="false"/>
          <w:sz w:val="20"/>
          <w:u w:val="none"/>
          <w:effect w:val="none"/>
        </w:rPr>
        <w:t>$1,127.5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46%</w:t>
      </w:r>
      <w:r>
        <w:rPr>
          <w:caps w:val="false"/>
          <w:smallCaps w:val="false"/>
          <w:sz w:val="24"/>
        </w:rPr>
        <w:t xml:space="preserve"> </w:t>
      </w:r>
      <w:r>
        <w:rPr>
          <w:rFonts w:ascii="Times New Roman;serif" w:hAnsi="Times New Roman;serif"/>
          <w:b w:val="false"/>
          <w:i w:val="false"/>
          <w:caps w:val="false"/>
          <w:smallCaps w:val="false"/>
          <w:sz w:val="20"/>
        </w:rPr>
        <w:t xml:space="preserve">increase in aggregate fees.  Adjusted EBITDA (controlling interest) increased less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than aggregate fees on a percentage basis primarily due to the recognition of performance-based fees earned by Affiliates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which we hold a lesser economic interest.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Economic net income (controlling interest) is an important supplemental financial performance measure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because it represents our performance before non-cash expenses relating to the acquisition of interests in Affiliates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improves comparability of performance between periods.  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our Economic net income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(controlling 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$62.2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39%</w:t>
      </w:r>
      <w:r>
        <w:rPr>
          <w:rFonts w:ascii="Times New Roman;serif" w:hAnsi="Times New Roman;serif"/>
          <w:b w:val="false"/>
          <w:i w:val="false"/>
          <w:caps w:val="false"/>
          <w:smallCaps w:val="false"/>
          <w:sz w:val="20"/>
        </w:rPr>
        <w:t xml:space="preserve">, primarily due to a </w:t>
      </w:r>
      <w:r>
        <w:rPr>
          <w:rFonts w:ascii="Times New Roman;serif" w:hAnsi="Times New Roman;serif"/>
          <w:b w:val="false"/>
          <w:i w:val="false"/>
          <w:caps w:val="false"/>
          <w:smallCaps w:val="false"/>
          <w:strike w:val="false"/>
          <w:dstrike w:val="false"/>
          <w:sz w:val="20"/>
          <w:u w:val="none"/>
          <w:effect w:val="none"/>
        </w:rPr>
        <w:t>$96.3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44%</w:t>
      </w:r>
      <w:r>
        <w:rPr>
          <w:caps w:val="false"/>
          <w:smallCaps w:val="false"/>
          <w:sz w:val="24"/>
        </w:rPr>
        <w:t xml:space="preserve"> </w:t>
      </w:r>
      <w:r>
        <w:rPr>
          <w:rFonts w:ascii="Times New Roman;serif" w:hAnsi="Times New Roman;serif"/>
          <w:b w:val="false"/>
          <w:i w:val="false"/>
          <w:caps w:val="false"/>
          <w:smallCaps w:val="false"/>
          <w:sz w:val="20"/>
        </w:rPr>
        <w:t xml:space="preserve">increase in Adjusted EBITDA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(controlling interest).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Economic net income (controlling 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$128.2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40%</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primarily due to a </w:t>
      </w:r>
      <w:r>
        <w:rPr>
          <w:rFonts w:ascii="Times New Roman;serif" w:hAnsi="Times New Roman;serif"/>
          <w:b w:val="false"/>
          <w:i w:val="false"/>
          <w:caps w:val="false"/>
          <w:smallCaps w:val="false"/>
          <w:strike w:val="false"/>
          <w:dstrike w:val="false"/>
          <w:sz w:val="20"/>
          <w:u w:val="none"/>
          <w:effect w:val="none"/>
        </w:rPr>
        <w:t>$185.4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41%</w:t>
      </w:r>
      <w:r>
        <w:rPr>
          <w:caps w:val="false"/>
          <w:smallCaps w:val="false"/>
          <w:sz w:val="24"/>
        </w:rPr>
        <w:t xml:space="preserve"> </w:t>
      </w:r>
      <w:r>
        <w:rPr>
          <w:rFonts w:ascii="Times New Roman;serif" w:hAnsi="Times New Roman;serif"/>
          <w:b w:val="false"/>
          <w:i w:val="false"/>
          <w:caps w:val="false"/>
          <w:smallCaps w:val="false"/>
          <w:sz w:val="20"/>
        </w:rPr>
        <w:t>increase in Adjusted EBITDA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discussion includes the key operating performance measures and financial results of our consolidated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equity method Affiliates.  Our consolidated Affiliates’ financial results are included in Consolidated revenue,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expenses, and Investment and other income, and our share of our equity method Affiliates’ financial results is reported, net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amortization and impairments and tax, in Equity method income (net) in our Consolidated Statements of Income.</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Consolidated Revenue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our consolidated Affiliates’ average assets under management and Consolidated revenue: </w:t>
      </w:r>
    </w:p>
    <w:tbl>
      <w:tblPr>
        <w:tblW w:w="9140" w:type="dxa"/>
        <w:jc w:val="left"/>
        <w:tblInd w:w="0" w:type="dxa"/>
        <w:tblLayout w:type="fixed"/>
        <w:tblCellMar>
          <w:top w:w="28" w:type="dxa"/>
          <w:left w:w="28" w:type="dxa"/>
          <w:bottom w:w="28" w:type="dxa"/>
          <w:right w:w="28" w:type="dxa"/>
        </w:tblCellMar>
      </w:tblPr>
      <w:tblGrid>
        <w:gridCol w:w="3676"/>
        <w:gridCol w:w="805"/>
        <w:gridCol w:w="129"/>
        <w:gridCol w:w="805"/>
        <w:gridCol w:w="109"/>
        <w:gridCol w:w="871"/>
        <w:gridCol w:w="109"/>
        <w:gridCol w:w="676"/>
        <w:gridCol w:w="109"/>
        <w:gridCol w:w="826"/>
        <w:gridCol w:w="109"/>
        <w:gridCol w:w="916"/>
      </w:tblGrid>
      <w:tr>
        <w:trPr/>
        <w:tc>
          <w:tcPr>
            <w:tcW w:w="36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tLeast" w:line="22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 except as noted)</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3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Consolidated Affiliate average assets under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management (in billions)</w:t>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3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revenue</w:t>
            </w:r>
          </w:p>
        </w:tc>
        <w:tc>
          <w:tcPr>
            <w:tcW w:w="80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$493.2</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revenue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$147.5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30%</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due to an $86.3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18% increase from asset-based fees, and a $61.2 million or 12% increase from performance-based fees, primarily in private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markets strategies.  The increase in asset-based fees was principally due to an increase in our consolidated Affiliates’ average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under management, primarily in private markets and multi-asset and fixed income strategies, including the impact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 appreciation, and changes in the composition of our assets under management.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revenue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$195.8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20%</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due to a $141.3 million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14% increase from asset-based fees and a $54.5 million or 6% increase from performance-based fees, primarily in private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markets strategies.  The increase in asset-based fees was principally due to an increase in our consolidated Affiliates’ average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under management, primarily in private markets and multi-asset and fixed income strategies, including the impact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 appreciation, and changes in the composition of our assets under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Consolidated Expenses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Consolidated expenses:</w:t>
      </w:r>
    </w:p>
    <w:tbl>
      <w:tblPr>
        <w:tblW w:w="8834" w:type="dxa"/>
        <w:jc w:val="left"/>
        <w:tblInd w:w="0" w:type="dxa"/>
        <w:tblLayout w:type="fixed"/>
        <w:tblCellMar>
          <w:top w:w="28" w:type="dxa"/>
          <w:left w:w="28" w:type="dxa"/>
          <w:bottom w:w="28" w:type="dxa"/>
          <w:right w:w="28" w:type="dxa"/>
        </w:tblCellMar>
      </w:tblPr>
      <w:tblGrid>
        <w:gridCol w:w="3436"/>
        <w:gridCol w:w="805"/>
        <w:gridCol w:w="129"/>
        <w:gridCol w:w="805"/>
        <w:gridCol w:w="109"/>
        <w:gridCol w:w="871"/>
        <w:gridCol w:w="109"/>
        <w:gridCol w:w="715"/>
        <w:gridCol w:w="115"/>
        <w:gridCol w:w="715"/>
        <w:gridCol w:w="109"/>
        <w:gridCol w:w="916"/>
      </w:tblGrid>
      <w:tr>
        <w:trPr/>
        <w:tc>
          <w:tcPr>
            <w:tcW w:w="343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87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343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Compensation and related expenses</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$494.1</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95.7</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190.4</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34.5</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68.6</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Depreciation and other amortization</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expenses (net)</w:t>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21.6</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consolidated expenses</w:t>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$869.6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Compensation and related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$52.4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20%</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primarily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due to a </w:t>
      </w:r>
      <w:r>
        <w:rPr>
          <w:rFonts w:ascii="Times New Roman;serif" w:hAnsi="Times New Roman;serif"/>
          <w:b w:val="false"/>
          <w:i w:val="false"/>
          <w:caps w:val="false"/>
          <w:smallCaps w:val="false"/>
          <w:strike w:val="false"/>
          <w:dstrike w:val="false"/>
          <w:sz w:val="20"/>
          <w:u w:val="none"/>
          <w:effect w:val="none"/>
        </w:rPr>
        <w:t>$90.7 million increase i</w:t>
      </w:r>
      <w:r>
        <w:rPr>
          <w:rFonts w:ascii="Times New Roman;serif" w:hAnsi="Times New Roman;serif"/>
          <w:b w:val="false"/>
          <w:i w:val="false"/>
          <w:caps w:val="false"/>
          <w:smallCaps w:val="false"/>
          <w:sz w:val="20"/>
        </w:rPr>
        <w:t xml:space="preserve">n compensation accruals, partially offset by a $37.6 million decrease in Affiliate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expense.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Compensation and related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$109.1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22%</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primarily due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 $117.6 million increase in compensation accruals, partially offset by a $4.6 million decrease in share-based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a $3.9 million decrease in Affiliate equity expense.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Selling, general and administrative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$11.7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12%</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primarily due to a $10.3 million increase in distribution and investment-related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principally as a result of the increase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average assets under management on which these expenses are incurred</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Selling, general and administrative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$24.3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13%</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primarily due to a $17.4 million increase in distribution and investment-related expenses, principally as a result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increase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average assets under management on which these expenses are incurred</w:t>
      </w:r>
      <w:r>
        <w:rPr>
          <w:rFonts w:ascii="Times New Roman;serif" w:hAnsi="Times New Roman;serif"/>
          <w:b w:val="false"/>
          <w:i w:val="false"/>
          <w:caps w:val="false"/>
          <w:smallCaps w:val="false"/>
          <w:sz w:val="20"/>
        </w:rPr>
        <w:t>, and a $6.2 million increase in professional fees.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Intangible amortization and impairments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due to a $0.9 million increase in amortization expense due to an increase in actual and expected client attrition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certain definite-lived acquired client relationships.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Intangible amortization and impairments decreased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37%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due to a $34.0 million decrease in expenses to reduce the carrying value of indefinite-lived acquired client relationships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certain mutual fund assets to fair value.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Interest expense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$6.0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17%</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primarily due to a $7.7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from borrowings under our senior unsecured multicurrency revolving credit facility (the “revolver”) and a $6.0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from our 5.50% senior unsecured notes issued in December 2025 (the “2036 senior notes”).  These increases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partially offset by a $4.5 million decrease due to the repayment of our junior convertible securities in January 2026 and a $3.2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million decrease due to the maturity of our 3.50% senior notes in August 2025 (the “2025 Senior Notes”).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Interest expense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$10.3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15%</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primarily due to a $13.7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from borrowings under the revolver and an $11.9 million increase from the 2036 senior notes.  These increases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partially offset by an $8.9 million decrease due to the repayment of our junior convertible securities in January 2026 and a $6.4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million decrease due to the maturity of the 2025 Senior Notes.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There were no significant changes to Depreciation and other amortization 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 xml:space="preserve">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expenses (net)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33%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primarily due to a $1.1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increase in rent and related office costs and a $0.7 million increase in expenses related to changes in the values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contingent payment obligations.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expenses (net)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primarily due to a $9.3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increase in expenses related to the settlement of conversions with respect to our junior convertible securities (see Note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6), a $1.7 million increase in rent and related office costs, and a $0.8 million increase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expenses related to changes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values of contingent payment obligations.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Equity Method Income (Net)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our Affiliates accounted for under the equity method, we use structured partnership interests in which we contractually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 in the Affiliate’s revenue or revenue less agreed-upon expenses.  Our share of pre-tax earnings or losses from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accounted for under the equity method (“pre-tax equity method earnings”), net of intangible amortization and impairments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is included in Equity method income (net).  For certain of our Affiliates accounted for under the equity method, we report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Affiliate’s financial results in our Consolidated Financial Statements one quarter in arrears.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our equity method Affiliates’ average assets under management and equity method Affiliate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revenue</w:t>
      </w:r>
      <w:r>
        <w:rPr>
          <w:rFonts w:ascii="Times New Roman;serif" w:hAnsi="Times New Roman;serif"/>
          <w:b w:val="false"/>
          <w:i w:val="false"/>
          <w:caps w:val="false"/>
          <w:smallCaps w:val="false"/>
          <w:strike w:val="false"/>
          <w:dstrike w:val="false"/>
          <w:sz w:val="20"/>
          <w:u w:val="none"/>
          <w:effect w:val="none"/>
        </w:rPr>
        <w:t>, net of certain expense reimbursements paid by the underlying products (“equity method revenue, net”)</w:t>
      </w:r>
      <w:r>
        <w:rPr>
          <w:rFonts w:ascii="Times New Roman;serif" w:hAnsi="Times New Roman;serif"/>
          <w:b w:val="false"/>
          <w:i w:val="false"/>
          <w:caps w:val="false"/>
          <w:smallCaps w:val="false"/>
          <w:sz w:val="20"/>
        </w:rPr>
        <w:t>, as well as pre-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equity method earnings, equity method intangible amortization, equity method intangible impairments, if any, and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method income tax, which in aggregate form Equity method income (net):</w:t>
      </w:r>
    </w:p>
    <w:tbl>
      <w:tblPr>
        <w:tblW w:w="9410" w:type="dxa"/>
        <w:jc w:val="left"/>
        <w:tblInd w:w="0" w:type="dxa"/>
        <w:tblLayout w:type="fixed"/>
        <w:tblCellMar>
          <w:top w:w="28" w:type="dxa"/>
          <w:left w:w="28" w:type="dxa"/>
          <w:bottom w:w="28" w:type="dxa"/>
          <w:right w:w="28" w:type="dxa"/>
        </w:tblCellMar>
      </w:tblPr>
      <w:tblGrid>
        <w:gridCol w:w="3796"/>
        <w:gridCol w:w="730"/>
        <w:gridCol w:w="117"/>
        <w:gridCol w:w="892"/>
        <w:gridCol w:w="109"/>
        <w:gridCol w:w="871"/>
        <w:gridCol w:w="109"/>
        <w:gridCol w:w="826"/>
        <w:gridCol w:w="109"/>
        <w:gridCol w:w="826"/>
        <w:gridCol w:w="109"/>
        <w:gridCol w:w="916"/>
      </w:tblGrid>
      <w:tr>
        <w:trPr/>
        <w:tc>
          <w:tcPr>
            <w:tcW w:w="379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 except as noted)</w:t>
            </w:r>
          </w:p>
        </w:tc>
        <w:tc>
          <w:tcPr>
            <w:tcW w:w="73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379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Operating Performance Measures</w:t>
            </w:r>
          </w:p>
        </w:tc>
        <w:tc>
          <w:tcPr>
            <w:tcW w:w="730"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Equity method Affiliate average assets under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management (in billions)</w:t>
            </w:r>
          </w:p>
        </w:tc>
        <w:tc>
          <w:tcPr>
            <w:tcW w:w="730"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$336.9</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892"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r>
      <w:tr>
        <w:trPr/>
        <w:tc>
          <w:tcPr>
            <w:tcW w:w="3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revenue, net</w:t>
            </w:r>
          </w:p>
        </w:tc>
        <w:tc>
          <w:tcPr>
            <w:tcW w:w="730"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$680.3</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$1,454.1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r>
      <w:tr>
        <w:trPr/>
        <w:tc>
          <w:tcPr>
            <w:tcW w:w="3796" w:type="dxa"/>
            <w:tcBorders/>
            <w:shd w:fill="FFFFFF" w:val="clear"/>
            <w:vAlign w:val="center"/>
          </w:tcPr>
          <w:p>
            <w:pPr>
              <w:pStyle w:val="TableContents"/>
              <w:bidi w:val="0"/>
              <w:spacing w:before="0" w:after="283"/>
              <w:jc w:val="left"/>
              <w:rPr>
                <w:sz w:val="4"/>
                <w:szCs w:val="4"/>
              </w:rPr>
            </w:pPr>
            <w:r>
              <w:rPr>
                <w:sz w:val="4"/>
                <w:szCs w:val="4"/>
              </w:rPr>
            </w:r>
          </w:p>
        </w:tc>
        <w:tc>
          <w:tcPr>
            <w:tcW w:w="730"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892"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r>
      <w:tr>
        <w:trPr/>
        <w:tc>
          <w:tcPr>
            <w:tcW w:w="379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Financial Performance Measures</w:t>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Pre-tax equity method earnings</w:t>
            </w:r>
          </w:p>
        </w:tc>
        <w:tc>
          <w:tcPr>
            <w:tcW w:w="73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$94.1</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8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w:t>
            </w:r>
          </w:p>
        </w:tc>
      </w:tr>
      <w:tr>
        <w:trPr/>
        <w:tc>
          <w:tcPr>
            <w:tcW w:w="3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intangible amortization</w:t>
            </w:r>
          </w:p>
        </w:tc>
        <w:tc>
          <w:tcPr>
            <w:tcW w:w="73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r>
      <w:tr>
        <w:trPr/>
        <w:tc>
          <w:tcPr>
            <w:tcW w:w="3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intangible impairments</w:t>
            </w:r>
          </w:p>
        </w:tc>
        <w:tc>
          <w:tcPr>
            <w:tcW w:w="73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892"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r>
      <w:tr>
        <w:trPr/>
        <w:tc>
          <w:tcPr>
            <w:tcW w:w="3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income tax</w:t>
            </w:r>
          </w:p>
        </w:tc>
        <w:tc>
          <w:tcPr>
            <w:tcW w:w="73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3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income (net)</w:t>
            </w:r>
          </w:p>
        </w:tc>
        <w:tc>
          <w:tcPr>
            <w:tcW w:w="73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$65.6</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8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w:t>
            </w:r>
          </w:p>
        </w:tc>
      </w:tr>
    </w:tbl>
    <w:p>
      <w:pPr>
        <w:pStyle w:val="TextBody"/>
        <w:bidi w:val="0"/>
        <w:spacing w:lineRule="atLeast" w:line="200" w:before="0" w:after="0"/>
        <w:jc w:val="left"/>
        <w:rPr/>
      </w:pPr>
      <w:r>
        <w:rPr>
          <w:rFonts w:ascii="Times New Roman;serif" w:hAnsi="Times New Roman;serif"/>
          <w:b w:val="false"/>
          <w:i w:val="false"/>
          <w:caps w:val="false"/>
          <w:smallCaps w:val="false"/>
          <w:sz w:val="16"/>
        </w:rPr>
        <w:t>___________________________</w:t>
      </w:r>
      <w:r>
        <w:rPr>
          <w:caps w:val="false"/>
          <w:smallCaps w:val="false"/>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Percent change is not meaningful.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E</w:t>
      </w:r>
      <w:r>
        <w:rPr>
          <w:rFonts w:ascii="Times New Roman;serif" w:hAnsi="Times New Roman;serif"/>
          <w:b w:val="false"/>
          <w:i w:val="false"/>
          <w:caps w:val="false"/>
          <w:smallCaps w:val="false"/>
          <w:strike w:val="false"/>
          <w:dstrike w:val="false"/>
          <w:sz w:val="20"/>
          <w:u w:val="none"/>
          <w:effect w:val="none"/>
        </w:rPr>
        <w:t>quity method revenue, net</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$340.5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50%</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due to a $351.2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million or 52% increase from asset-based fees, partially offset by a $10.7 million or 2% decrease from performance-based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in liquid alternative strategies.  The increase in asset-based fees was principally due to an increase in our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 Affiliates’ average assets under management, primarily in liquid alternative and multi-asset and fixed income strategies,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the impact of our investments in new Affiliates and market appreciation, and changes in the composition of our assets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management, including net client cash flows from our equity method Affiliates managing alternative strategies,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typically have higher fee rates.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pre-tax equity method earnings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$62.6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67%</w:t>
      </w:r>
      <w:r>
        <w:rPr>
          <w:rFonts w:ascii="Times New Roman;serif" w:hAnsi="Times New Roman;serif"/>
          <w:b w:val="false"/>
          <w:i w:val="false"/>
          <w:caps w:val="false"/>
          <w:smallCaps w:val="false"/>
          <w:sz w:val="20"/>
        </w:rPr>
        <w:t xml:space="preserve">, primarily due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 </w:t>
      </w:r>
      <w:r>
        <w:rPr>
          <w:rFonts w:ascii="Times New Roman;serif" w:hAnsi="Times New Roman;serif"/>
          <w:b w:val="false"/>
          <w:i w:val="false"/>
          <w:caps w:val="false"/>
          <w:smallCaps w:val="false"/>
          <w:strike w:val="false"/>
          <w:dstrike w:val="false"/>
          <w:sz w:val="20"/>
          <w:u w:val="none"/>
          <w:effect w:val="none"/>
        </w:rPr>
        <w:t>$340.5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50%</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 xml:space="preserve">in equity method revenue, </w:t>
      </w:r>
      <w:r>
        <w:rPr>
          <w:rFonts w:ascii="Times New Roman;serif" w:hAnsi="Times New Roman;serif"/>
          <w:b w:val="false"/>
          <w:i w:val="false"/>
          <w:caps w:val="false"/>
          <w:smallCaps w:val="false"/>
          <w:strike w:val="false"/>
          <w:dstrike w:val="false"/>
          <w:sz w:val="20"/>
          <w:u w:val="none"/>
          <w:effect w:val="none"/>
        </w:rPr>
        <w:t xml:space="preserve">net.  Pre-tax equity method earnings increased more than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method revenue, net on a percentage basis primarily due to margin expansion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 certain Affiliates.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Equity method intangible amortization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$2.2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8%</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primarily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due to a $9.7 million increase in amortization expense due to investments in new Affiliates.  This increase was partially offset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a $5.4 million decrease in amortization expense related to certain definite-lived assets being fully amortized and a $2.4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million decrease due to certain Affiliate transactions.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Equity method revenue, net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$931.7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64%</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due to a $696.7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million or 48% increase from asset-based fees and a $235.0 million or 16% increase from performance-based fees, primarily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liquid alternative strategies.  The increase in asset-based fees was principally due to an increase in our equity method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average assets under management, primarily in liquid alternative and multi-asset and fixed income strategies, including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impact of our investments in new Affiliates and market appreciation, and changes in the composition of our assets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including net client cash flows from our equity method Affiliates managing alternative strategies, which typically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have higher fee rates.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pre-tax equity method earnings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$149.4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77%</w:t>
      </w:r>
      <w:r>
        <w:rPr>
          <w:rFonts w:ascii="Times New Roman;serif" w:hAnsi="Times New Roman;serif"/>
          <w:b w:val="false"/>
          <w:i w:val="false"/>
          <w:caps w:val="false"/>
          <w:smallCaps w:val="false"/>
          <w:sz w:val="20"/>
        </w:rPr>
        <w:t xml:space="preserve">, primarily due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 </w:t>
      </w:r>
      <w:r>
        <w:rPr>
          <w:rFonts w:ascii="Times New Roman;serif" w:hAnsi="Times New Roman;serif"/>
          <w:b w:val="false"/>
          <w:i w:val="false"/>
          <w:caps w:val="false"/>
          <w:smallCaps w:val="false"/>
          <w:strike w:val="false"/>
          <w:dstrike w:val="false"/>
          <w:sz w:val="20"/>
          <w:u w:val="none"/>
          <w:effect w:val="none"/>
        </w:rPr>
        <w:t>$931.7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64%</w:t>
      </w:r>
      <w:r>
        <w:rPr>
          <w:caps w:val="false"/>
          <w:smallCaps w:val="false"/>
          <w:sz w:val="24"/>
        </w:rPr>
        <w:t xml:space="preserve"> </w:t>
      </w:r>
      <w:r>
        <w:rPr>
          <w:rFonts w:ascii="Times New Roman;serif" w:hAnsi="Times New Roman;serif"/>
          <w:b w:val="false"/>
          <w:i w:val="false"/>
          <w:caps w:val="false"/>
          <w:smallCaps w:val="false"/>
          <w:sz w:val="20"/>
        </w:rPr>
        <w:t xml:space="preserve">increase in equity method revenue, net.  Pre-tax equity method earnings increased more than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 revenue, net on a percentage basis primarily due to margin expansion at certain Affiliates.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Equity method intangible amortization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$10.3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23%</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primarily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due to a $20.5 million increase in amortization expense due to investments in new Affiliates.  This increase was partially offset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a $6.4 million decrease in amortization expense related to certain definite-lived assets being fully amortized and a $4.5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million decrease in amortization expense due to certain Affiliate transactions.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Equity method intangible impairments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See Note 9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There were no significant changes to equity method income tax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2026.</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Affiliate Transaction Gains</w:t>
      </w:r>
    </w:p>
    <w:tbl>
      <w:tblPr>
        <w:tblW w:w="7619" w:type="dxa"/>
        <w:jc w:val="left"/>
        <w:tblInd w:w="0" w:type="dxa"/>
        <w:tblLayout w:type="fixed"/>
        <w:tblCellMar>
          <w:top w:w="28" w:type="dxa"/>
          <w:left w:w="28" w:type="dxa"/>
          <w:bottom w:w="28" w:type="dxa"/>
          <w:right w:w="28" w:type="dxa"/>
        </w:tblCellMar>
      </w:tblPr>
      <w:tblGrid>
        <w:gridCol w:w="2221"/>
        <w:gridCol w:w="707"/>
        <w:gridCol w:w="165"/>
        <w:gridCol w:w="867"/>
        <w:gridCol w:w="109"/>
        <w:gridCol w:w="871"/>
        <w:gridCol w:w="109"/>
        <w:gridCol w:w="628"/>
        <w:gridCol w:w="147"/>
        <w:gridCol w:w="770"/>
        <w:gridCol w:w="109"/>
        <w:gridCol w:w="916"/>
      </w:tblGrid>
      <w:tr>
        <w:trPr/>
        <w:tc>
          <w:tcPr>
            <w:tcW w:w="222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70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 transaction gains</w:t>
            </w:r>
          </w:p>
        </w:tc>
        <w:tc>
          <w:tcPr>
            <w:tcW w:w="70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65" w:type="dxa"/>
            <w:tcBorders/>
            <w:shd w:fill="CCEEFF" w:val="clear"/>
            <w:vAlign w:val="center"/>
          </w:tcPr>
          <w:p>
            <w:pPr>
              <w:pStyle w:val="TableContents"/>
              <w:bidi w:val="0"/>
              <w:spacing w:before="0" w:after="283"/>
              <w:jc w:val="left"/>
              <w:rPr>
                <w:sz w:val="4"/>
                <w:szCs w:val="4"/>
              </w:rPr>
            </w:pPr>
            <w:r>
              <w:rPr>
                <w:sz w:val="4"/>
                <w:szCs w:val="4"/>
              </w:rPr>
            </w:r>
          </w:p>
        </w:tc>
        <w:tc>
          <w:tcPr>
            <w:tcW w:w="86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r>
    </w:tbl>
    <w:p>
      <w:pPr>
        <w:pStyle w:val="TextBody"/>
        <w:bidi w:val="0"/>
        <w:spacing w:lineRule="atLeast" w:line="200" w:before="0" w:after="0"/>
        <w:jc w:val="left"/>
        <w:rPr/>
      </w:pPr>
      <w:r>
        <w:rPr>
          <w:rFonts w:ascii="Times New Roman;serif" w:hAnsi="Times New Roman;serif"/>
          <w:b w:val="false"/>
          <w:i w:val="false"/>
          <w:caps w:val="false"/>
          <w:smallCaps w:val="false"/>
          <w:sz w:val="16"/>
        </w:rPr>
        <w:t>___________________________</w:t>
      </w:r>
      <w:r>
        <w:rPr>
          <w:caps w:val="false"/>
          <w:smallCaps w:val="false"/>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Percent change is not meaningful.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recorded a </w:t>
      </w:r>
      <w:r>
        <w:rPr>
          <w:rFonts w:ascii="Times New Roman;serif" w:hAnsi="Times New Roman;serif"/>
          <w:b w:val="false"/>
          <w:i w:val="false"/>
          <w:caps w:val="false"/>
          <w:smallCaps w:val="false"/>
          <w:strike w:val="false"/>
          <w:dstrike w:val="false"/>
          <w:sz w:val="20"/>
          <w:u w:val="none"/>
          <w:effect w:val="none"/>
        </w:rPr>
        <w:t>$14.6 million</w:t>
      </w:r>
      <w:r>
        <w:rPr>
          <w:caps w:val="false"/>
          <w:smallCaps w:val="false"/>
          <w:sz w:val="24"/>
        </w:rPr>
        <w:t xml:space="preserve"> </w:t>
      </w:r>
      <w:r>
        <w:rPr>
          <w:rFonts w:ascii="Times New Roman;serif" w:hAnsi="Times New Roman;serif"/>
          <w:b w:val="false"/>
          <w:i w:val="false"/>
          <w:caps w:val="false"/>
          <w:smallCaps w:val="false"/>
          <w:sz w:val="20"/>
        </w:rPr>
        <w:t xml:space="preserve">gain related to the divestiture of an advisor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team at myCIO Wealth Partners, LLC (“myCIO”) in June 2026 (the "myCIO Transaction")</w:t>
      </w:r>
      <w:r>
        <w:rPr>
          <w:rFonts w:ascii="Times New Roman;serif" w:hAnsi="Times New Roman;serif"/>
          <w:b w:val="false"/>
          <w:i w:val="false"/>
          <w:caps w:val="false"/>
          <w:smallCaps w:val="false"/>
          <w:strike w:val="false"/>
          <w:dstrike w:val="false"/>
          <w:sz w:val="20"/>
          <w:u w:val="none"/>
          <w:effect w:val="none"/>
        </w:rPr>
        <w:t xml:space="preserve">.  See Note 8 of our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Statements.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Investment and Other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our Investment and other income: </w:t>
      </w:r>
    </w:p>
    <w:tbl>
      <w:tblPr>
        <w:tblW w:w="7873" w:type="dxa"/>
        <w:jc w:val="left"/>
        <w:tblInd w:w="0" w:type="dxa"/>
        <w:tblLayout w:type="fixed"/>
        <w:tblCellMar>
          <w:top w:w="28" w:type="dxa"/>
          <w:left w:w="28" w:type="dxa"/>
          <w:bottom w:w="28" w:type="dxa"/>
          <w:right w:w="28" w:type="dxa"/>
        </w:tblCellMar>
      </w:tblPr>
      <w:tblGrid>
        <w:gridCol w:w="2476"/>
        <w:gridCol w:w="794"/>
        <w:gridCol w:w="151"/>
        <w:gridCol w:w="794"/>
        <w:gridCol w:w="109"/>
        <w:gridCol w:w="871"/>
        <w:gridCol w:w="109"/>
        <w:gridCol w:w="705"/>
        <w:gridCol w:w="134"/>
        <w:gridCol w:w="705"/>
        <w:gridCol w:w="109"/>
        <w:gridCol w:w="916"/>
      </w:tblGrid>
      <w:tr>
        <w:trPr/>
        <w:tc>
          <w:tcPr>
            <w:tcW w:w="24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3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24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Investment and other income</w:t>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$37.1</w:t>
            </w:r>
          </w:p>
        </w:tc>
        <w:tc>
          <w:tcPr>
            <w:tcW w:w="134"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 and other income decreased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45%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primarily due to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$10.9 million decrease in net realized and unrealized gains on other investments.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 and other income decreased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$16.7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45%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primarily due to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$11.6 million decrease in net realized and unrealized gains on other investments and a $7.7 million decrease in interest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These decreases were partially offset by a $3.7 million increase in net realized and unrealized gains on marketable securities.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Income Tax Expense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our Income tax expense: </w:t>
      </w:r>
    </w:p>
    <w:tbl>
      <w:tblPr>
        <w:tblW w:w="7169" w:type="dxa"/>
        <w:jc w:val="left"/>
        <w:tblInd w:w="0" w:type="dxa"/>
        <w:tblLayout w:type="fixed"/>
        <w:tblCellMar>
          <w:top w:w="28" w:type="dxa"/>
          <w:left w:w="28" w:type="dxa"/>
          <w:bottom w:w="28" w:type="dxa"/>
          <w:right w:w="28" w:type="dxa"/>
        </w:tblCellMar>
      </w:tblPr>
      <w:tblGrid>
        <w:gridCol w:w="1771"/>
        <w:gridCol w:w="794"/>
        <w:gridCol w:w="151"/>
        <w:gridCol w:w="794"/>
        <w:gridCol w:w="109"/>
        <w:gridCol w:w="871"/>
        <w:gridCol w:w="109"/>
        <w:gridCol w:w="651"/>
        <w:gridCol w:w="124"/>
        <w:gridCol w:w="770"/>
        <w:gridCol w:w="109"/>
        <w:gridCol w:w="916"/>
      </w:tblGrid>
      <w:tr>
        <w:trPr/>
        <w:tc>
          <w:tcPr>
            <w:tcW w:w="17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17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Income tax expense </w:t>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$63.1</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consolidated income tax provision includes taxes attributable to the controlling interest and, to a lesser extent, taxes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attributable to the non-controlling interests.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Income tax expense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$34.3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96%</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Our effective tax 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(controlling interest) 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was </w:t>
      </w:r>
      <w:r>
        <w:rPr>
          <w:rFonts w:ascii="Times New Roman;serif" w:hAnsi="Times New Roman;serif"/>
          <w:b w:val="false"/>
          <w:i w:val="false"/>
          <w:caps w:val="false"/>
          <w:smallCaps w:val="false"/>
          <w:strike w:val="false"/>
          <w:dstrike w:val="false"/>
          <w:sz w:val="20"/>
          <w:u w:val="none"/>
          <w:effect w:val="none"/>
        </w:rPr>
        <w:t>26.2%</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28.5%</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2025</w:t>
      </w:r>
      <w:r>
        <w:rPr>
          <w:rFonts w:ascii="Times New Roman;serif" w:hAnsi="Times New Roman;serif"/>
          <w:b w:val="false"/>
          <w:i w:val="false"/>
          <w:caps w:val="false"/>
          <w:smallCaps w:val="false"/>
          <w:sz w:val="20"/>
        </w:rPr>
        <w:t xml:space="preserve">.  The decrease in the effective tax rate (controlling interest) is primarily due to an expense attributable to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modification of the terms of certain equity awards at an Affiliate for which no tax benefit was recorded, which did not recur,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partially offset by higher tax windfalls attributable to share-based compensation for the three months ended June 30, 2025.</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Income tax expense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$53.4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85%</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Our effective tax 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(controlling interest) 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was </w:t>
      </w:r>
      <w:r>
        <w:rPr>
          <w:rFonts w:ascii="Times New Roman;serif" w:hAnsi="Times New Roman;serif"/>
          <w:b w:val="false"/>
          <w:i w:val="false"/>
          <w:caps w:val="false"/>
          <w:smallCaps w:val="false"/>
          <w:strike w:val="false"/>
          <w:dstrike w:val="false"/>
          <w:sz w:val="20"/>
          <w:u w:val="none"/>
          <w:effect w:val="none"/>
        </w:rPr>
        <w:t>27.4%</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27.1%</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 xml:space="preserve">June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30, 2025</w:t>
      </w:r>
      <w:r>
        <w:rPr>
          <w:rFonts w:ascii="Times New Roman;serif" w:hAnsi="Times New Roman;serif"/>
          <w:b w:val="false"/>
          <w:i w:val="false"/>
          <w:caps w:val="false"/>
          <w:smallCaps w:val="false"/>
          <w:sz w:val="20"/>
        </w:rPr>
        <w:t xml:space="preserve">.  The increase in the effective tax rate (controlling interest) is primarily due to lower tax windfalls attributable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share-based compensation for the six 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Net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Net income, Net income (non-controlling interests), and Net income (controlling interest):</w:t>
      </w:r>
    </w:p>
    <w:tbl>
      <w:tblPr>
        <w:tblW w:w="8624" w:type="dxa"/>
        <w:jc w:val="left"/>
        <w:tblInd w:w="0" w:type="dxa"/>
        <w:tblLayout w:type="fixed"/>
        <w:tblCellMar>
          <w:top w:w="28" w:type="dxa"/>
          <w:left w:w="28" w:type="dxa"/>
          <w:bottom w:w="28" w:type="dxa"/>
          <w:right w:w="28" w:type="dxa"/>
        </w:tblCellMar>
      </w:tblPr>
      <w:tblGrid>
        <w:gridCol w:w="3226"/>
        <w:gridCol w:w="805"/>
        <w:gridCol w:w="129"/>
        <w:gridCol w:w="805"/>
        <w:gridCol w:w="109"/>
        <w:gridCol w:w="871"/>
        <w:gridCol w:w="109"/>
        <w:gridCol w:w="715"/>
        <w:gridCol w:w="115"/>
        <w:gridCol w:w="715"/>
        <w:gridCol w:w="109"/>
        <w:gridCol w:w="916"/>
      </w:tblGrid>
      <w:tr>
        <w:trPr/>
        <w:tc>
          <w:tcPr>
            <w:tcW w:w="322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32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Net income </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$135.9</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$235.1</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r>
      <w:tr>
        <w:trPr/>
        <w:tc>
          <w:tcPr>
            <w:tcW w:w="32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(non-controlling interests)</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78.5</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32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w:t>
            </w:r>
          </w:p>
        </w:tc>
      </w:tr>
    </w:tbl>
    <w:p>
      <w:pPr>
        <w:pStyle w:val="TextBody"/>
        <w:bidi w:val="0"/>
        <w:spacing w:lineRule="atLeast" w:line="200" w:before="0" w:after="0"/>
        <w:jc w:val="left"/>
        <w:rPr/>
      </w:pPr>
      <w:r>
        <w:rPr>
          <w:rFonts w:ascii="Times New Roman;serif" w:hAnsi="Times New Roman;serif"/>
          <w:b w:val="false"/>
          <w:i w:val="false"/>
          <w:caps w:val="false"/>
          <w:smallCaps w:val="false"/>
          <w:sz w:val="16"/>
        </w:rPr>
        <w:t>___________________________</w:t>
      </w:r>
      <w:r>
        <w:rPr>
          <w:caps w:val="false"/>
          <w:smallCaps w:val="false"/>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Percent change is not meaningful.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Net income (controlling interest)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$101.6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primarily due to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in Consolidated revenue, an increase in Equity method income (net), and a decrease in Affiliate equity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the controlling interest, partially offset by an increase in Income tax expense attributable to the controlling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Net income (controlling interest)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$139.7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89%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2026, </w:t>
      </w:r>
      <w:r>
        <w:rPr>
          <w:rFonts w:ascii="Times New Roman;serif" w:hAnsi="Times New Roman;serif"/>
          <w:b w:val="false"/>
          <w:i w:val="false"/>
          <w:caps w:val="false"/>
          <w:smallCaps w:val="false"/>
          <w:sz w:val="20"/>
        </w:rPr>
        <w:t xml:space="preserve">primarily due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increase in Consolidated revenue and an increase in Equity method income (net), partially offset by an increase in Income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expense attributable to the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Supplemental Financial Performance Measures</w:t>
      </w:r>
      <w:r>
        <w:rPr>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supplemental information to our GAAP performance measures, including Net income (see Note </w:t>
      </w:r>
      <w:r>
        <w:rPr>
          <w:rFonts w:ascii="Times New Roman;serif" w:hAnsi="Times New Roman;serif"/>
          <w:b w:val="false"/>
          <w:i w:val="false"/>
          <w:caps w:val="false"/>
          <w:smallCaps w:val="false"/>
          <w:strike w:val="false"/>
          <w:dstrike w:val="false"/>
          <w:sz w:val="20"/>
          <w:u w:val="none"/>
          <w:effect w:val="none"/>
        </w:rPr>
        <w:t>17</w:t>
      </w:r>
      <w:r>
        <w:rPr>
          <w:caps w:val="false"/>
          <w:smallCaps w:val="false"/>
          <w:sz w:val="24"/>
        </w:rPr>
        <w:t xml:space="preserve"> </w:t>
      </w:r>
      <w:r>
        <w:rPr>
          <w:rFonts w:ascii="Times New Roman;serif" w:hAnsi="Times New Roman;serif"/>
          <w:b w:val="false"/>
          <w:i w:val="false"/>
          <w:caps w:val="false"/>
          <w:smallCaps w:val="false"/>
          <w:sz w:val="20"/>
        </w:rPr>
        <w:t xml:space="preserve">of our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we provide non-GAAP performance measures of Adjusted EBITDA (controlling interest), Economic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(controlling interest), and Economic earnings per share.  We believe that many investors use our Adjusted EBITDA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(controlling interest) when comparing our financial performance to other companies in the investment management industry.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utilizes these non-GAAP performance measures to assess our performance before our share of certain non-cash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GAAP expenses primarily related to the acquisition of interests in Affiliates and to improve comparability between periods.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net income (controlling interest) and Economic earnings per share are used by management and our Board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Directors as our principal performance benchmarks, including as </w:t>
      </w:r>
      <w:r>
        <w:rPr>
          <w:rFonts w:ascii="Times New Roman;serif" w:hAnsi="Times New Roman;serif"/>
          <w:b w:val="false"/>
          <w:i w:val="false"/>
          <w:caps w:val="false"/>
          <w:smallCaps w:val="false"/>
          <w:strike w:val="false"/>
          <w:dstrike w:val="false"/>
          <w:sz w:val="20"/>
          <w:u w:val="none"/>
          <w:effect w:val="none"/>
        </w:rPr>
        <w:t xml:space="preserve">one of the </w:t>
      </w:r>
      <w:r>
        <w:rPr>
          <w:rFonts w:ascii="Times New Roman;serif" w:hAnsi="Times New Roman;serif"/>
          <w:b w:val="false"/>
          <w:i w:val="false"/>
          <w:caps w:val="false"/>
          <w:smallCaps w:val="false"/>
          <w:sz w:val="20"/>
        </w:rPr>
        <w:t xml:space="preserve">measures for determining executive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non-GAAP performance measures are provided in addition to, but not as a substitute for, Net income, Net income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(controlling interest), Earnings per share, or other GAAP performance measures.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Adjusted EBITDA (controlling interest)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EBITDA (controlling interest) represents our performance before our share of interest expense, income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non-income based taxes, depreciation, amortization, impairments, gains and losses related to Affiliate transactions,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non-cash items such as certain Affiliate equity-related activities, gains and losses on our contingent payment obligations,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unrealized gains and losses on seed capital, general partner commitments, and other strategic investments.  Adjusted EBITDA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(controlling interest) is also adjusted to include realized economic gains and losses related to these seed capital, general partner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commitments, and other strategic investments.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a reconciliation of Net income (controlling interest) to Adjusted EBITDA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w:t>
      </w:r>
    </w:p>
    <w:tbl>
      <w:tblPr>
        <w:tblW w:w="6994" w:type="dxa"/>
        <w:jc w:val="left"/>
        <w:tblInd w:w="0" w:type="dxa"/>
        <w:tblLayout w:type="fixed"/>
        <w:tblCellMar>
          <w:top w:w="28" w:type="dxa"/>
          <w:left w:w="28" w:type="dxa"/>
          <w:bottom w:w="28" w:type="dxa"/>
          <w:right w:w="28" w:type="dxa"/>
        </w:tblCellMar>
      </w:tblPr>
      <w:tblGrid>
        <w:gridCol w:w="3556"/>
        <w:gridCol w:w="805"/>
        <w:gridCol w:w="129"/>
        <w:gridCol w:w="805"/>
        <w:gridCol w:w="109"/>
        <w:gridCol w:w="714"/>
        <w:gridCol w:w="115"/>
        <w:gridCol w:w="761"/>
      </w:tblGrid>
      <w:tr>
        <w:trPr/>
        <w:tc>
          <w:tcPr>
            <w:tcW w:w="355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283"/>
              <w:jc w:val="left"/>
              <w:rPr>
                <w:sz w:val="4"/>
                <w:szCs w:val="4"/>
              </w:rPr>
            </w:pPr>
            <w:r>
              <w:rPr>
                <w:sz w:val="4"/>
                <w:szCs w:val="4"/>
              </w:rPr>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355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35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$296.3</w:t>
            </w:r>
          </w:p>
        </w:tc>
      </w:tr>
      <w:tr>
        <w:trPr/>
        <w:tc>
          <w:tcPr>
            <w:tcW w:w="35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expense</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34.4</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68.5</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78.8</w:t>
            </w:r>
          </w:p>
        </w:tc>
      </w:tr>
      <w:tr>
        <w:trPr/>
        <w:tc>
          <w:tcPr>
            <w:tcW w:w="35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Income taxes</w:t>
            </w:r>
            <w:r>
              <w:rPr>
                <w:rFonts w:ascii="Times New Roman;serif" w:hAnsi="Times New Roman;serif"/>
                <w:b w:val="false"/>
                <w:i w:val="false"/>
                <w:caps w:val="false"/>
                <w:smallCaps w:val="false"/>
                <w:sz w:val="10"/>
              </w:rPr>
              <w:t>(1)</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65.4</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118.5</w:t>
            </w:r>
          </w:p>
        </w:tc>
      </w:tr>
      <w:tr>
        <w:trPr/>
        <w:tc>
          <w:tcPr>
            <w:tcW w:w="35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Intangible amortization and impairments</w:t>
            </w:r>
            <w:r>
              <w:rPr>
                <w:rFonts w:ascii="Times New Roman;serif" w:hAnsi="Times New Roman;serif"/>
                <w:b w:val="false"/>
                <w:i w:val="false"/>
                <w:caps w:val="false"/>
                <w:smallCaps w:val="false"/>
                <w:sz w:val="10"/>
              </w:rPr>
              <w:t>(2)</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116.8</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w:t>
            </w:r>
          </w:p>
        </w:tc>
      </w:tr>
      <w:tr>
        <w:trPr/>
        <w:tc>
          <w:tcPr>
            <w:tcW w:w="35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Affiliate transactions</w:t>
            </w:r>
            <w:r>
              <w:rPr>
                <w:rFonts w:ascii="Times New Roman;serif" w:hAnsi="Times New Roman;serif"/>
                <w:b w:val="false"/>
                <w:i w:val="false"/>
                <w:caps w:val="false"/>
                <w:smallCaps w:val="false"/>
                <w:sz w:val="10"/>
              </w:rPr>
              <w:t>(3)</w:t>
            </w:r>
          </w:p>
        </w:tc>
        <w:tc>
          <w:tcPr>
            <w:tcW w:w="805"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r>
      <w:tr>
        <w:trPr/>
        <w:tc>
          <w:tcPr>
            <w:tcW w:w="35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 items</w:t>
            </w:r>
            <w:r>
              <w:rPr>
                <w:rFonts w:ascii="Times New Roman;serif" w:hAnsi="Times New Roman;serif"/>
                <w:b w:val="false"/>
                <w:i w:val="false"/>
                <w:caps w:val="false"/>
                <w:smallCaps w:val="false"/>
                <w:sz w:val="10"/>
              </w:rPr>
              <w:t>(4)</w:t>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40.6</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51.2</w:t>
            </w:r>
          </w:p>
        </w:tc>
      </w:tr>
      <w:tr>
        <w:trPr/>
        <w:tc>
          <w:tcPr>
            <w:tcW w:w="35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Adjusted EBITDA (controlling interest)</w:t>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$447.9</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$633.3</w:t>
            </w:r>
          </w:p>
        </w:tc>
      </w:tr>
    </w:tbl>
    <w:p>
      <w:pPr>
        <w:pStyle w:val="TextBody"/>
        <w:bidi w:val="0"/>
        <w:spacing w:lineRule="atLeast" w:line="200" w:before="0" w:after="0"/>
        <w:jc w:val="left"/>
        <w:rPr/>
      </w:pPr>
      <w:r>
        <w:rPr>
          <w:rFonts w:ascii="Times New Roman;serif" w:hAnsi="Times New Roman;serif"/>
          <w:b w:val="false"/>
          <w:i w:val="false"/>
          <w:caps w:val="false"/>
          <w:smallCaps w:val="false"/>
          <w:sz w:val="16"/>
        </w:rPr>
        <w:t>___________________________</w:t>
      </w:r>
      <w:r>
        <w:rPr>
          <w:caps w:val="false"/>
          <w:smallCaps w:val="false"/>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Income taxes include equity method income tax.</w:t>
      </w:r>
    </w:p>
    <w:p>
      <w:pPr>
        <w:pStyle w:val="TextBody"/>
        <w:bidi w:val="0"/>
        <w:spacing w:lineRule="atLeast" w:line="200" w:before="0" w:after="0"/>
        <w:jc w:val="left"/>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Intangible amortization and impairments in our Consolidated Statements of Income include amortization attributable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non-controlling interests of our consolidated Affiliates.  For our Affiliates accounted for under the equity method, we do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separately report intangible amortization and impairments in our Consolidated Statements of Income.  Our share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Affiliates’ amortization and impairments is included in Equity method income (net).  The following table presents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w:t>
      </w:r>
      <w:r>
        <w:rPr>
          <w:rFonts w:ascii="Times New Roman;serif" w:hAnsi="Times New Roman;serif"/>
          <w:b w:val="false"/>
          <w:i w:val="false"/>
          <w:caps w:val="false"/>
          <w:smallCaps w:val="false"/>
          <w:strike w:val="false"/>
          <w:dstrike w:val="false"/>
          <w:sz w:val="20"/>
          <w:u w:val="none"/>
          <w:effect w:val="none"/>
        </w:rPr>
        <w:t>ntangible amortization and impairments shown above:</w:t>
      </w:r>
    </w:p>
    <w:tbl>
      <w:tblPr>
        <w:tblW w:w="9454" w:type="dxa"/>
        <w:jc w:val="left"/>
        <w:tblInd w:w="0" w:type="dxa"/>
        <w:tblLayout w:type="fixed"/>
        <w:tblCellMar>
          <w:top w:w="28" w:type="dxa"/>
          <w:left w:w="28" w:type="dxa"/>
          <w:bottom w:w="28" w:type="dxa"/>
          <w:right w:w="28" w:type="dxa"/>
        </w:tblCellMar>
      </w:tblPr>
      <w:tblGrid>
        <w:gridCol w:w="6016"/>
        <w:gridCol w:w="794"/>
        <w:gridCol w:w="151"/>
        <w:gridCol w:w="794"/>
        <w:gridCol w:w="109"/>
        <w:gridCol w:w="714"/>
        <w:gridCol w:w="115"/>
        <w:gridCol w:w="761"/>
      </w:tblGrid>
      <w:tr>
        <w:trPr/>
        <w:tc>
          <w:tcPr>
            <w:tcW w:w="601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60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601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intangible amortization and impairments</w:t>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$56.5</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Consolidated intangible amortization and impairments (non-controlling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interests)</w:t>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w:t>
            </w:r>
          </w:p>
        </w:tc>
      </w:tr>
      <w:tr>
        <w:trPr/>
        <w:tc>
          <w:tcPr>
            <w:tcW w:w="60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 method intangible amortization and impairments</w:t>
            </w:r>
          </w:p>
        </w:tc>
        <w:tc>
          <w:tcPr>
            <w:tcW w:w="79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63.9</w:t>
            </w:r>
          </w:p>
        </w:tc>
      </w:tr>
      <w:tr>
        <w:trPr/>
        <w:tc>
          <w:tcPr>
            <w:tcW w:w="60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Total </w:t>
            </w:r>
          </w:p>
        </w:tc>
        <w:tc>
          <w:tcPr>
            <w:tcW w:w="79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w:t>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$116.8</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z w:val="20"/>
        </w:rPr>
        <w:t xml:space="preserve">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include a gain of </w:t>
      </w:r>
      <w:r>
        <w:rPr>
          <w:rFonts w:ascii="Times New Roman;serif" w:hAnsi="Times New Roman;serif"/>
          <w:b w:val="false"/>
          <w:i w:val="false"/>
          <w:caps w:val="false"/>
          <w:smallCaps w:val="false"/>
          <w:strike w:val="false"/>
          <w:dstrike w:val="false"/>
          <w:sz w:val="20"/>
          <w:u w:val="none"/>
          <w:effect w:val="none"/>
        </w:rPr>
        <w:t>$14.6 million</w:t>
      </w:r>
      <w:r>
        <w:rPr>
          <w:caps w:val="false"/>
          <w:smallCaps w:val="false"/>
          <w:sz w:val="24"/>
        </w:rPr>
        <w:t xml:space="preserve"> </w:t>
      </w:r>
      <w:r>
        <w:rPr>
          <w:rFonts w:ascii="Times New Roman;serif" w:hAnsi="Times New Roman;serif"/>
          <w:b w:val="false"/>
          <w:i w:val="false"/>
          <w:caps w:val="false"/>
          <w:smallCaps w:val="false"/>
          <w:sz w:val="20"/>
        </w:rPr>
        <w:t>related to the myCIO Transaction.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trike w:val="false"/>
          <w:dstrike w:val="false"/>
          <w:sz w:val="20"/>
          <w:u w:val="none"/>
          <w:effect w:val="none"/>
        </w:rPr>
        <w:t>Other</w:t>
      </w:r>
      <w:r>
        <w:rPr>
          <w:caps w:val="false"/>
          <w:smallCaps w:val="false"/>
          <w:sz w:val="24"/>
        </w:rPr>
        <w:t xml:space="preserve"> </w:t>
      </w:r>
      <w:r>
        <w:rPr>
          <w:rFonts w:ascii="Times New Roman;serif" w:hAnsi="Times New Roman;serif"/>
          <w:b w:val="false"/>
          <w:i w:val="false"/>
          <w:caps w:val="false"/>
          <w:smallCaps w:val="false"/>
          <w:sz w:val="20"/>
        </w:rPr>
        <w:t>items include certain non-income based taxes, depreciation, and non-cash items such as certain Affiliate equity-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activities, gains and losses on our contingent payment obligations, unrealized gains and losses on seed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partner commitments, and other strategic investments, and realized economic gains and losses related to these seed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capital, general partner commitments, and other </w:t>
      </w:r>
      <w:r>
        <w:rPr>
          <w:rFonts w:ascii="Times New Roman;serif" w:hAnsi="Times New Roman;serif"/>
          <w:b w:val="false"/>
          <w:i w:val="false"/>
          <w:caps w:val="false"/>
          <w:smallCaps w:val="false"/>
          <w:strike w:val="false"/>
          <w:dstrike w:val="false"/>
          <w:sz w:val="20"/>
          <w:u w:val="none"/>
          <w:effect w:val="none"/>
        </w:rPr>
        <w:t>strategic investments. For the three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months ended June 30, 2025</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2026, other items were predominantly the result of Affiliate equity-related activities.  See Note 12 of our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Statements.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Economic Net Income (controlling interest) and Economic Earnings Per Share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our Economic net income (controlling interest) definition, we adjust Net income (controlling interest) for our share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pre-tax intangible amortization and impairments related to intangible assets (including the portion attributable to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 investments in Affiliates) because these expenses do not correspond to the changes in the value of these assets,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 not diminish predictably over time.  We also adjust for deferred taxes attributable to intangible assets because we believe 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unlikely these accruals will be used to settle material tax obligations.  Further, we adjust for gains and losses related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 transactions, net of tax, and other economic items.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earnings per share represents Economic net income (controlling interest) divided by the Average shares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(adjusted diluted).  In this calculation, we exclude the potential shares issued upon settlement of Redeemable non-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controlling interests from Average shares outstanding (adjusted diluted) because we intend to settle those obligations without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issuing shares, consistent with all prior Affiliate equity purchase transactions.  T</w:t>
      </w:r>
      <w:r>
        <w:rPr>
          <w:rFonts w:ascii="Times New Roman;serif" w:hAnsi="Times New Roman;serif"/>
          <w:b w:val="false"/>
          <w:i w:val="false"/>
          <w:caps w:val="false"/>
          <w:smallCaps w:val="false"/>
          <w:strike w:val="false"/>
          <w:dstrike w:val="false"/>
          <w:sz w:val="20"/>
          <w:u w:val="none"/>
          <w:effect w:val="none"/>
        </w:rPr>
        <w:t xml:space="preserve">he potential share issuance in connection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former junior convertible securities is measured using a “treasury stock” method.  Under this method, only the net number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shares of common stock equal to the value of the junior convertible securities in excess of par, if any, are deemed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We believe the inclusion of net shares under a treasury stock method best reflects the benefit of the increase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available capital resources (which could be used to repurchase shares of our common stock) that occurs when these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are converted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we are relieved of our debt obligation.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a reconciliation of Net income (controlling interest) to Economic net income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and Economic earnings per share:</w:t>
      </w:r>
    </w:p>
    <w:tbl>
      <w:tblPr>
        <w:tblW w:w="9229" w:type="dxa"/>
        <w:jc w:val="left"/>
        <w:tblInd w:w="0" w:type="dxa"/>
        <w:tblLayout w:type="fixed"/>
        <w:tblCellMar>
          <w:top w:w="28" w:type="dxa"/>
          <w:left w:w="28" w:type="dxa"/>
          <w:bottom w:w="28" w:type="dxa"/>
          <w:right w:w="28" w:type="dxa"/>
        </w:tblCellMar>
      </w:tblPr>
      <w:tblGrid>
        <w:gridCol w:w="5791"/>
        <w:gridCol w:w="805"/>
        <w:gridCol w:w="129"/>
        <w:gridCol w:w="805"/>
        <w:gridCol w:w="109"/>
        <w:gridCol w:w="714"/>
        <w:gridCol w:w="115"/>
        <w:gridCol w:w="761"/>
      </w:tblGrid>
      <w:tr>
        <w:trPr/>
        <w:tc>
          <w:tcPr>
            <w:tcW w:w="579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579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73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Three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579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 except per share data)</w:t>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2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57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$296.3</w:t>
            </w:r>
          </w:p>
        </w:tc>
      </w:tr>
      <w:tr>
        <w:trPr/>
        <w:tc>
          <w:tcPr>
            <w:tcW w:w="579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Intangible amortization and impairments</w:t>
            </w:r>
            <w:r>
              <w:rPr>
                <w:rFonts w:ascii="Times New Roman;serif" w:hAnsi="Times New Roman;serif"/>
                <w:b w:val="false"/>
                <w:i w:val="false"/>
                <w:caps w:val="false"/>
                <w:smallCaps w:val="false"/>
                <w:sz w:val="10"/>
              </w:rPr>
              <w:t>(1)</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116.8</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103.1</w:t>
            </w:r>
          </w:p>
        </w:tc>
      </w:tr>
      <w:tr>
        <w:trPr/>
        <w:tc>
          <w:tcPr>
            <w:tcW w:w="579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Intangible-related deferred taxes</w:t>
            </w:r>
            <w:r>
              <w:rPr>
                <w:rFonts w:ascii="Times New Roman;serif" w:hAnsi="Times New Roman;serif"/>
                <w:b w:val="false"/>
                <w:i w:val="false"/>
                <w:caps w:val="false"/>
                <w:smallCaps w:val="false"/>
                <w:sz w:val="10"/>
              </w:rPr>
              <w:t>(2)</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17.9</w:t>
            </w:r>
          </w:p>
        </w:tc>
      </w:tr>
      <w:tr>
        <w:trPr/>
        <w:tc>
          <w:tcPr>
            <w:tcW w:w="579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Affiliate transactions</w:t>
            </w:r>
            <w:r>
              <w:rPr>
                <w:rFonts w:ascii="Times New Roman;serif" w:hAnsi="Times New Roman;serif"/>
                <w:b w:val="false"/>
                <w:i w:val="false"/>
                <w:caps w:val="false"/>
                <w:smallCaps w:val="false"/>
                <w:sz w:val="10"/>
              </w:rPr>
              <w:t>(3)</w:t>
            </w:r>
          </w:p>
        </w:tc>
        <w:tc>
          <w:tcPr>
            <w:tcW w:w="805"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w:t>
            </w:r>
          </w:p>
        </w:tc>
      </w:tr>
      <w:tr>
        <w:trPr/>
        <w:tc>
          <w:tcPr>
            <w:tcW w:w="579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 economic items</w:t>
            </w:r>
            <w:r>
              <w:rPr>
                <w:rFonts w:ascii="Times New Roman;serif" w:hAnsi="Times New Roman;serif"/>
                <w:b w:val="false"/>
                <w:i w:val="false"/>
                <w:caps w:val="false"/>
                <w:smallCaps w:val="false"/>
                <w:sz w:val="10"/>
              </w:rPr>
              <w:t>(4)</w:t>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29.3</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39.8</w:t>
            </w:r>
          </w:p>
        </w:tc>
      </w:tr>
      <w:tr>
        <w:trPr/>
        <w:tc>
          <w:tcPr>
            <w:tcW w:w="57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Economic net income (controlling interest)</w:t>
            </w:r>
          </w:p>
        </w:tc>
        <w:tc>
          <w:tcPr>
            <w:tcW w:w="80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$159.2</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$317.9</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$446.1</w:t>
            </w:r>
          </w:p>
        </w:tc>
      </w:tr>
      <w:tr>
        <w:trPr/>
        <w:tc>
          <w:tcPr>
            <w:tcW w:w="57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shares outstanding (diluted)</w:t>
            </w:r>
          </w:p>
        </w:tc>
        <w:tc>
          <w:tcPr>
            <w:tcW w:w="805"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w:t>
            </w:r>
          </w:p>
        </w:tc>
      </w:tr>
      <w:tr>
        <w:trPr/>
        <w:tc>
          <w:tcPr>
            <w:tcW w:w="57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Hypothetical issuance of shares to settle Redeemable non-controlling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interests</w:t>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r>
      <w:tr>
        <w:trPr/>
        <w:tc>
          <w:tcPr>
            <w:tcW w:w="57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Assumed issuance of junior convertible securities shares</w:t>
            </w:r>
          </w:p>
        </w:tc>
        <w:tc>
          <w:tcPr>
            <w:tcW w:w="8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7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Dilutive impact of junior convertible securities shares</w:t>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7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Average shares outstanding (adjusted diluted)</w:t>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29.5</w:t>
            </w:r>
          </w:p>
        </w:tc>
        <w:tc>
          <w:tcPr>
            <w:tcW w:w="129" w:type="dxa"/>
            <w:tcBorders/>
            <w:shd w:fill="CCEEFF" w:val="clear"/>
            <w:vAlign w:val="center"/>
          </w:tcPr>
          <w:p>
            <w:pPr>
              <w:pStyle w:val="TableContents"/>
              <w:bidi w:val="0"/>
              <w:spacing w:before="0" w:after="283"/>
              <w:jc w:val="left"/>
              <w:rPr>
                <w:sz w:val="4"/>
                <w:szCs w:val="4"/>
              </w:rPr>
            </w:pPr>
            <w:r>
              <w:rPr>
                <w:sz w:val="4"/>
                <w:szCs w:val="4"/>
              </w:rPr>
            </w:r>
          </w:p>
        </w:tc>
        <w:tc>
          <w:tcPr>
            <w:tcW w:w="80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w:t>
            </w:r>
          </w:p>
        </w:tc>
      </w:tr>
      <w:tr>
        <w:trPr/>
        <w:tc>
          <w:tcPr>
            <w:tcW w:w="57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Economic earnings per share</w:t>
            </w:r>
          </w:p>
        </w:tc>
        <w:tc>
          <w:tcPr>
            <w:tcW w:w="80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w:t>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80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$10.58</w:t>
            </w:r>
          </w:p>
        </w:tc>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761"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$16.52</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See note (2) to the table in “Adjusted EBITDA (controlling interest).”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Income taxes </w:t>
      </w:r>
      <w:r>
        <w:rPr>
          <w:rFonts w:ascii="Times New Roman;serif" w:hAnsi="Times New Roman;serif"/>
          <w:b w:val="false"/>
          <w:i w:val="false"/>
          <w:caps w:val="false"/>
          <w:smallCaps w:val="false"/>
          <w:strike w:val="false"/>
          <w:dstrike w:val="false"/>
          <w:sz w:val="20"/>
          <w:u w:val="none"/>
          <w:effect w:val="none"/>
        </w:rPr>
        <w:t>include</w:t>
      </w:r>
      <w:r>
        <w:rPr>
          <w:caps w:val="false"/>
          <w:smallCaps w:val="false"/>
          <w:sz w:val="24"/>
        </w:rPr>
        <w:t xml:space="preserve"> </w:t>
      </w:r>
      <w:r>
        <w:rPr>
          <w:rFonts w:ascii="Times New Roman;serif" w:hAnsi="Times New Roman;serif"/>
          <w:b w:val="false"/>
          <w:i w:val="false"/>
          <w:caps w:val="false"/>
          <w:smallCaps w:val="false"/>
          <w:sz w:val="20"/>
        </w:rPr>
        <w:t>equity method deferred taxes.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z w:val="20"/>
        </w:rPr>
        <w:t xml:space="preserve">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include a gain of </w:t>
      </w:r>
      <w:r>
        <w:rPr>
          <w:rFonts w:ascii="Times New Roman;serif" w:hAnsi="Times New Roman;serif"/>
          <w:b w:val="false"/>
          <w:i w:val="false"/>
          <w:caps w:val="false"/>
          <w:smallCaps w:val="false"/>
          <w:strike w:val="false"/>
          <w:dstrike w:val="false"/>
          <w:sz w:val="20"/>
          <w:u w:val="none"/>
          <w:effect w:val="none"/>
        </w:rPr>
        <w:t>$14.6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the </w:t>
      </w:r>
      <w:r>
        <w:rPr>
          <w:rFonts w:ascii="Times New Roman;serif" w:hAnsi="Times New Roman;serif"/>
          <w:b w:val="false"/>
          <w:i w:val="false"/>
          <w:caps w:val="false"/>
          <w:smallCaps w:val="false"/>
          <w:strike w:val="false"/>
          <w:dstrike w:val="false"/>
          <w:sz w:val="20"/>
          <w:u w:val="none"/>
          <w:effect w:val="none"/>
        </w:rPr>
        <w:t>myCIO Transaction</w:t>
      </w:r>
      <w:r>
        <w:rPr>
          <w:rFonts w:ascii="Times New Roman;serif" w:hAnsi="Times New Roman;serif"/>
          <w:b w:val="false"/>
          <w:i w:val="false"/>
          <w:caps w:val="false"/>
          <w:smallCaps w:val="false"/>
          <w:sz w:val="20"/>
        </w:rPr>
        <w:t xml:space="preserve">, net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 million income tax expense.</w:t>
      </w:r>
    </w:p>
    <w:p>
      <w:pPr>
        <w:pStyle w:val="TextBody"/>
        <w:bidi w:val="0"/>
        <w:spacing w:lineRule="atLeast" w:line="200" w:before="0" w:after="0"/>
        <w:jc w:val="left"/>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z w:val="20"/>
        </w:rPr>
        <w:t xml:space="preserve">Other economic items include certain Affiliate equity-related activities, gains and losses related to contingent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obligations, tax windfalls and shortfalls from share-based compensation, unrealized gains and losses on seed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partner commitments, and other strategic investments, and realized economic gains and losses related to these seed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capital, general partner commitments, and other strategic investments.  For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June 30,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other economic items were predominantly the result of Affiliate equity-related activities.  </w:t>
      </w:r>
      <w:r>
        <w:rPr>
          <w:rFonts w:ascii="Times New Roman;serif" w:hAnsi="Times New Roman;serif"/>
          <w:b w:val="false"/>
          <w:i w:val="false"/>
          <w:caps w:val="false"/>
          <w:smallCaps w:val="false"/>
          <w:strike w:val="false"/>
          <w:dstrike w:val="false"/>
          <w:sz w:val="20"/>
          <w:u w:val="none"/>
          <w:effect w:val="none"/>
        </w:rPr>
        <w:t xml:space="preserve">See Note 12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L</w:t>
      </w:r>
      <w:r>
        <w:rPr>
          <w:rFonts w:ascii="Times New Roman;serif" w:hAnsi="Times New Roman;serif"/>
          <w:b/>
          <w:i w:val="false"/>
          <w:caps w:val="false"/>
          <w:smallCaps w:val="false"/>
          <w:sz w:val="20"/>
        </w:rPr>
        <w:t>iquidity and Capital Resources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generate long-term value by investing in new Affiliate partnerships, existing Affiliates, and strategic value-add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through which we can leverage our scale and resources to benefit our Affiliates and enhance their long-term growth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prospects.  Given our annual cash generation from operations, in addition to investing for growth in our business, we are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able to return excess capital to shareholders primarily through share repurchases.  We continue to manage our capital structure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consistent with an investment grade company and are currently rated </w:t>
      </w:r>
      <w:r>
        <w:rPr>
          <w:rFonts w:ascii="Times New Roman;serif" w:hAnsi="Times New Roman;serif"/>
          <w:b w:val="false"/>
          <w:i w:val="false"/>
          <w:caps w:val="false"/>
          <w:smallCaps w:val="false"/>
          <w:strike w:val="false"/>
          <w:dstrike w:val="false"/>
          <w:sz w:val="20"/>
          <w:u w:val="none"/>
          <w:effect w:val="none"/>
        </w:rPr>
        <w:t xml:space="preserve">A3 </w:t>
      </w:r>
      <w:r>
        <w:rPr>
          <w:rFonts w:ascii="Times New Roman;serif" w:hAnsi="Times New Roman;serif"/>
          <w:b w:val="false"/>
          <w:i w:val="false"/>
          <w:caps w:val="false"/>
          <w:smallCaps w:val="false"/>
          <w:sz w:val="20"/>
        </w:rPr>
        <w:t xml:space="preserve">by Moody’s Investor Services and BBB+ by S&amp;P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Global Ratings.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and cash equivalents were </w:t>
      </w:r>
      <w:r>
        <w:rPr>
          <w:rFonts w:ascii="Times New Roman;serif" w:hAnsi="Times New Roman;serif"/>
          <w:b w:val="false"/>
          <w:i w:val="false"/>
          <w:caps w:val="false"/>
          <w:smallCaps w:val="false"/>
          <w:strike w:val="false"/>
          <w:dstrike w:val="false"/>
          <w:sz w:val="20"/>
          <w:u w:val="none"/>
          <w:effect w:val="none"/>
        </w:rPr>
        <w:t>$411.0 million</w:t>
      </w:r>
      <w:r>
        <w:rPr>
          <w:caps w:val="false"/>
          <w:smallCaps w:val="false"/>
          <w:sz w:val="24"/>
        </w:rPr>
        <w:t xml:space="preserve"> </w:t>
      </w: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and were attributable to b</w:t>
      </w:r>
      <w:r>
        <w:rPr>
          <w:rFonts w:ascii="Times New Roman;serif" w:hAnsi="Times New Roman;serif"/>
          <w:b w:val="false"/>
          <w:i w:val="false"/>
          <w:caps w:val="false"/>
          <w:smallCaps w:val="false"/>
          <w:strike w:val="false"/>
          <w:dstrike w:val="false"/>
          <w:sz w:val="20"/>
          <w:u w:val="none"/>
          <w:effect w:val="none"/>
        </w:rPr>
        <w:t xml:space="preserve">oth our controlling and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non-controlling interests</w:t>
      </w:r>
      <w:r>
        <w:rPr>
          <w:rFonts w:ascii="Times New Roman;serif" w:hAnsi="Times New Roman;serif"/>
          <w:b w:val="false"/>
          <w:i w:val="false"/>
          <w:caps w:val="false"/>
          <w:smallCaps w:val="false"/>
          <w:sz w:val="20"/>
        </w:rPr>
        <w:t xml:space="preserve">.  In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met our cash requirements </w:t>
      </w:r>
      <w:r>
        <w:rPr>
          <w:rFonts w:ascii="Times New Roman;serif" w:hAnsi="Times New Roman;serif"/>
          <w:b w:val="false"/>
          <w:i w:val="false"/>
          <w:caps w:val="false"/>
          <w:smallCaps w:val="false"/>
          <w:strike w:val="false"/>
          <w:dstrike w:val="false"/>
          <w:sz w:val="20"/>
          <w:u w:val="none"/>
          <w:effect w:val="none"/>
        </w:rPr>
        <w:t>primarily through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generated by operating activities and senior bank debt borrowings</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Our principal uses of cash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six</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for investments in new Affiliates, settlement of each of our conversion obligations with respect to our former junior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convertible securities, the return of excess capital through share repurchases, repayment of debt, and distributions to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equity holders.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We expect investments in new Affiliates, investments in existing Affiliates,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through purchases of Affiliate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interests</w:t>
      </w:r>
      <w:r>
        <w:rPr>
          <w:caps w:val="false"/>
          <w:smallCaps w:val="false"/>
          <w:sz w:val="24"/>
        </w:rPr>
        <w:t xml:space="preserve"> </w:t>
      </w:r>
      <w:r>
        <w:rPr>
          <w:rFonts w:ascii="Times New Roman;serif" w:hAnsi="Times New Roman;serif"/>
          <w:b w:val="false"/>
          <w:i w:val="false"/>
          <w:caps w:val="false"/>
          <w:smallCaps w:val="false"/>
          <w:sz w:val="20"/>
        </w:rPr>
        <w:t xml:space="preserve">and general partner and seed capital investments, the return of capital through share repurchases and the payment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dividends on our common stock, repayment of debt, distributions to Affiliate equity holders, payment of income taxes,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working capital to be the primary uses of cash on a consolidated basis for the foreseeable future.  We anticipate that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current cash balance, cash flows from operations, and borrowings under the revolver will be sufficient to support our uses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for the foreseeable future.  In addition, we may draw funding from the debt and equity capital markets, and our credit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ratings, among other factors, allow us to access these sources of funding on favorable terms.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operating, investing, and financing cash flow activities:</w:t>
      </w:r>
    </w:p>
    <w:tbl>
      <w:tblPr>
        <w:tblW w:w="3345" w:type="dxa"/>
        <w:jc w:val="left"/>
        <w:tblInd w:w="0" w:type="dxa"/>
        <w:tblLayout w:type="fixed"/>
        <w:tblCellMar>
          <w:top w:w="28" w:type="dxa"/>
          <w:left w:w="28" w:type="dxa"/>
          <w:bottom w:w="28" w:type="dxa"/>
          <w:right w:w="28" w:type="dxa"/>
        </w:tblCellMar>
      </w:tblPr>
      <w:tblGrid>
        <w:gridCol w:w="1756"/>
        <w:gridCol w:w="715"/>
        <w:gridCol w:w="112"/>
        <w:gridCol w:w="762"/>
      </w:tblGrid>
      <w:tr>
        <w:trPr/>
        <w:tc>
          <w:tcPr>
            <w:tcW w:w="175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 the Six Months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Ended June 30,</w:t>
            </w:r>
          </w:p>
        </w:tc>
      </w:tr>
      <w:tr>
        <w:trPr/>
        <w:tc>
          <w:tcPr>
            <w:tcW w:w="175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71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17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cash flow</w:t>
            </w:r>
          </w:p>
        </w:tc>
        <w:tc>
          <w:tcPr>
            <w:tcW w:w="71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$439.7</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$538.3</w:t>
            </w:r>
          </w:p>
        </w:tc>
      </w:tr>
      <w:tr>
        <w:trPr/>
        <w:tc>
          <w:tcPr>
            <w:tcW w:w="17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Investing cash flow</w:t>
            </w:r>
          </w:p>
        </w:tc>
        <w:tc>
          <w:tcPr>
            <w:tcW w:w="71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(529.3)</w:t>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76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(219.3)</w:t>
            </w:r>
          </w:p>
        </w:tc>
      </w:tr>
      <w:tr>
        <w:trPr/>
        <w:tc>
          <w:tcPr>
            <w:tcW w:w="17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Financing cash flow</w:t>
            </w:r>
          </w:p>
        </w:tc>
        <w:tc>
          <w:tcPr>
            <w:tcW w:w="71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(518.4)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Operating Cash Flow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are calculated by adjusting Net income for other significant sources and uses of cash, significant non-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items, and timing differences in the cash settlement of assets and liabilities.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Cash flows from operating activities were </w:t>
      </w:r>
      <w:r>
        <w:rPr>
          <w:rFonts w:ascii="Times New Roman;serif" w:hAnsi="Times New Roman;serif"/>
          <w:b w:val="false"/>
          <w:i w:val="false"/>
          <w:caps w:val="false"/>
          <w:smallCaps w:val="false"/>
          <w:strike w:val="false"/>
          <w:dstrike w:val="false"/>
          <w:sz w:val="20"/>
          <w:u w:val="none"/>
          <w:effect w:val="none"/>
        </w:rPr>
        <w:t>$538.3 million</w:t>
      </w:r>
      <w:r>
        <w:rPr>
          <w:rFonts w:ascii="Times New Roman;serif" w:hAnsi="Times New Roman;serif"/>
          <w:b w:val="false"/>
          <w:i w:val="false"/>
          <w:caps w:val="false"/>
          <w:smallCaps w:val="false"/>
          <w:sz w:val="20"/>
        </w:rPr>
        <w:t xml:space="preserve">, primarily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distributions of earnings received from equity method investments of </w:t>
      </w:r>
      <w:r>
        <w:rPr>
          <w:rFonts w:ascii="Times New Roman;serif" w:hAnsi="Times New Roman;serif"/>
          <w:b w:val="false"/>
          <w:i w:val="false"/>
          <w:caps w:val="false"/>
          <w:smallCaps w:val="false"/>
          <w:strike w:val="false"/>
          <w:dstrike w:val="false"/>
          <w:sz w:val="20"/>
          <w:u w:val="none"/>
          <w:effect w:val="none"/>
        </w:rPr>
        <w:t>$464.5 million</w:t>
      </w:r>
      <w:r>
        <w:rPr>
          <w:caps w:val="false"/>
          <w:smallCaps w:val="false"/>
          <w:sz w:val="24"/>
        </w:rPr>
        <w:t xml:space="preserve"> </w:t>
      </w:r>
      <w:r>
        <w:rPr>
          <w:rFonts w:ascii="Times New Roman;serif" w:hAnsi="Times New Roman;serif"/>
          <w:b w:val="false"/>
          <w:i w:val="false"/>
          <w:caps w:val="false"/>
          <w:smallCaps w:val="false"/>
          <w:sz w:val="20"/>
        </w:rPr>
        <w:t xml:space="preserve">and Net income of </w:t>
      </w:r>
      <w:r>
        <w:rPr>
          <w:rFonts w:ascii="Times New Roman;serif" w:hAnsi="Times New Roman;serif"/>
          <w:b w:val="false"/>
          <w:i w:val="false"/>
          <w:caps w:val="false"/>
          <w:smallCaps w:val="false"/>
          <w:strike w:val="false"/>
          <w:dstrike w:val="false"/>
          <w:sz w:val="20"/>
          <w:u w:val="none"/>
          <w:effect w:val="none"/>
        </w:rPr>
        <w:t>$383.7 million</w:t>
      </w:r>
      <w:r>
        <w:rPr>
          <w:caps w:val="false"/>
          <w:smallCaps w:val="false"/>
          <w:sz w:val="24"/>
        </w:rPr>
        <w:t xml:space="preserve"> </w:t>
      </w:r>
      <w:r>
        <w:rPr>
          <w:rFonts w:ascii="Times New Roman;serif" w:hAnsi="Times New Roman;serif"/>
          <w:b w:val="false"/>
          <w:i w:val="false"/>
          <w:caps w:val="false"/>
          <w:smallCaps w:val="false"/>
          <w:sz w:val="20"/>
        </w:rPr>
        <w:t xml:space="preserve">adjusted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for non-cash items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$164.6 million</w:t>
      </w:r>
      <w:r>
        <w:rPr>
          <w:rFonts w:ascii="Times New Roman;serif" w:hAnsi="Times New Roman;serif"/>
          <w:b w:val="false"/>
          <w:i w:val="false"/>
          <w:caps w:val="false"/>
          <w:smallCaps w:val="false"/>
          <w:sz w:val="20"/>
        </w:rPr>
        <w:t xml:space="preserve">.  These items were partially offset by timing differences in the cash settlement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receivables, other assets, and payables, accrued liabilities, and other liabilities of </w:t>
      </w:r>
      <w:r>
        <w:rPr>
          <w:rFonts w:ascii="Times New Roman;serif" w:hAnsi="Times New Roman;serif"/>
          <w:b w:val="false"/>
          <w:i w:val="false"/>
          <w:caps w:val="false"/>
          <w:smallCaps w:val="false"/>
          <w:strike w:val="false"/>
          <w:dstrike w:val="false"/>
          <w:sz w:val="20"/>
          <w:u w:val="none"/>
          <w:effect w:val="none"/>
        </w:rPr>
        <w:t>$113.8 million</w:t>
      </w:r>
      <w:r>
        <w:rPr>
          <w:rFonts w:ascii="Times New Roman;serif" w:hAnsi="Times New Roman;serif"/>
          <w:b w:val="false"/>
          <w:i w:val="false"/>
          <w:caps w:val="false"/>
          <w:smallCaps w:val="false"/>
          <w:sz w:val="20"/>
        </w:rPr>
        <w:t xml:space="preserve">.  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operating cash flows were primarily attributable to the controlling interest.</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Investing Cash Flow</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Cash flows used in investing activities were </w:t>
      </w:r>
      <w:r>
        <w:rPr>
          <w:rFonts w:ascii="Times New Roman;serif" w:hAnsi="Times New Roman;serif"/>
          <w:b w:val="false"/>
          <w:i w:val="false"/>
          <w:caps w:val="false"/>
          <w:smallCaps w:val="false"/>
          <w:strike w:val="false"/>
          <w:dstrike w:val="false"/>
          <w:sz w:val="20"/>
          <w:u w:val="none"/>
          <w:effect w:val="none"/>
        </w:rPr>
        <w:t>$219.3 million</w:t>
      </w:r>
      <w:r>
        <w:rPr>
          <w:rFonts w:ascii="Times New Roman;serif" w:hAnsi="Times New Roman;serif"/>
          <w:b w:val="false"/>
          <w:i w:val="false"/>
          <w:caps w:val="false"/>
          <w:smallCaps w:val="false"/>
          <w:sz w:val="20"/>
        </w:rPr>
        <w:t>, primarily due to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$242.3 million</w:t>
      </w:r>
      <w:r>
        <w:rPr>
          <w:caps w:val="false"/>
          <w:smallCaps w:val="false"/>
          <w:sz w:val="24"/>
        </w:rPr>
        <w:t xml:space="preserve"> </w:t>
      </w:r>
      <w:r>
        <w:rPr>
          <w:rFonts w:ascii="Times New Roman;serif" w:hAnsi="Times New Roman;serif"/>
          <w:b w:val="false"/>
          <w:i w:val="false"/>
          <w:caps w:val="false"/>
          <w:smallCaps w:val="false"/>
          <w:sz w:val="20"/>
        </w:rPr>
        <w:t xml:space="preserve">of investments in Affiliates and </w:t>
      </w:r>
      <w:r>
        <w:rPr>
          <w:rFonts w:ascii="Times New Roman;serif" w:hAnsi="Times New Roman;serif"/>
          <w:b w:val="false"/>
          <w:i w:val="false"/>
          <w:caps w:val="false"/>
          <w:smallCaps w:val="false"/>
          <w:strike w:val="false"/>
          <w:dstrike w:val="false"/>
          <w:sz w:val="20"/>
          <w:u w:val="none"/>
          <w:effect w:val="none"/>
        </w:rPr>
        <w:t>$69.1 million</w:t>
      </w:r>
      <w:r>
        <w:rPr>
          <w:caps w:val="false"/>
          <w:smallCaps w:val="false"/>
          <w:sz w:val="24"/>
        </w:rPr>
        <w:t xml:space="preserve"> </w:t>
      </w:r>
      <w:r>
        <w:rPr>
          <w:rFonts w:ascii="Times New Roman;serif" w:hAnsi="Times New Roman;serif"/>
          <w:b w:val="false"/>
          <w:i w:val="false"/>
          <w:caps w:val="false"/>
          <w:smallCaps w:val="false"/>
          <w:sz w:val="20"/>
        </w:rPr>
        <w:t xml:space="preserve">of purchases of investment securities.  These items were partially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offset by </w:t>
      </w:r>
      <w:r>
        <w:rPr>
          <w:rFonts w:ascii="Times New Roman;serif" w:hAnsi="Times New Roman;serif"/>
          <w:b w:val="false"/>
          <w:i w:val="false"/>
          <w:caps w:val="false"/>
          <w:smallCaps w:val="false"/>
          <w:strike w:val="false"/>
          <w:dstrike w:val="false"/>
          <w:sz w:val="20"/>
          <w:u w:val="none"/>
          <w:effect w:val="none"/>
        </w:rPr>
        <w:t>$57.2 million</w:t>
      </w:r>
      <w:r>
        <w:rPr>
          <w:caps w:val="false"/>
          <w:smallCaps w:val="false"/>
          <w:sz w:val="24"/>
        </w:rPr>
        <w:t xml:space="preserve"> </w:t>
      </w:r>
      <w:r>
        <w:rPr>
          <w:rFonts w:ascii="Times New Roman;serif" w:hAnsi="Times New Roman;serif"/>
          <w:b w:val="false"/>
          <w:i w:val="false"/>
          <w:caps w:val="false"/>
          <w:smallCaps w:val="false"/>
          <w:sz w:val="20"/>
        </w:rPr>
        <w:t xml:space="preserve">of maturities and sales of </w:t>
      </w:r>
      <w:r>
        <w:rPr>
          <w:rFonts w:ascii="Times New Roman;serif" w:hAnsi="Times New Roman;serif"/>
          <w:b w:val="false"/>
          <w:i w:val="false"/>
          <w:caps w:val="false"/>
          <w:smallCaps w:val="false"/>
          <w:strike w:val="false"/>
          <w:dstrike w:val="false"/>
          <w:sz w:val="20"/>
          <w:u w:val="none"/>
          <w:effect w:val="none"/>
        </w:rPr>
        <w:t xml:space="preserve">investment securities and $36.2 million of proceeds received from Affiliate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transactions</w:t>
      </w:r>
      <w:r>
        <w:rPr>
          <w:rFonts w:ascii="Times New Roman;serif" w:hAnsi="Times New Roman;serif"/>
          <w:b w:val="false"/>
          <w:i w:val="false"/>
          <w:caps w:val="false"/>
          <w:smallCaps w:val="false"/>
          <w:sz w:val="20"/>
        </w:rPr>
        <w:t xml:space="preserve">.  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investing cash flows were primarily attributable to the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Financing Cash Flow</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Cash flows used in financing activities were </w:t>
      </w:r>
      <w:r>
        <w:rPr>
          <w:rFonts w:ascii="Times New Roman;serif" w:hAnsi="Times New Roman;serif"/>
          <w:b w:val="false"/>
          <w:i w:val="false"/>
          <w:caps w:val="false"/>
          <w:smallCaps w:val="false"/>
          <w:strike w:val="false"/>
          <w:dstrike w:val="false"/>
          <w:sz w:val="20"/>
          <w:u w:val="none"/>
          <w:effect w:val="none"/>
        </w:rPr>
        <w:t>$489.0 million</w:t>
      </w:r>
      <w:r>
        <w:rPr>
          <w:rFonts w:ascii="Times New Roman;serif" w:hAnsi="Times New Roman;serif"/>
          <w:b w:val="false"/>
          <w:i w:val="false"/>
          <w:caps w:val="false"/>
          <w:smallCaps w:val="false"/>
          <w:sz w:val="20"/>
        </w:rPr>
        <w:t xml:space="preserve">, primarily due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settlement of junior convertible securities of $514.6 million, </w:t>
      </w:r>
      <w:r>
        <w:rPr>
          <w:rFonts w:ascii="Times New Roman;serif" w:hAnsi="Times New Roman;serif"/>
          <w:b w:val="false"/>
          <w:i w:val="false"/>
          <w:caps w:val="false"/>
          <w:smallCaps w:val="false"/>
          <w:strike w:val="false"/>
          <w:dstrike w:val="false"/>
          <w:sz w:val="20"/>
          <w:u w:val="none"/>
          <w:effect w:val="none"/>
        </w:rPr>
        <w:t>$364.8 million</w:t>
      </w:r>
      <w:r>
        <w:rPr>
          <w:caps w:val="false"/>
          <w:smallCaps w:val="false"/>
          <w:sz w:val="24"/>
        </w:rPr>
        <w:t xml:space="preserve"> </w:t>
      </w:r>
      <w:r>
        <w:rPr>
          <w:rFonts w:ascii="Times New Roman;serif" w:hAnsi="Times New Roman;serif"/>
          <w:b w:val="false"/>
          <w:i w:val="false"/>
          <w:caps w:val="false"/>
          <w:smallCaps w:val="false"/>
          <w:sz w:val="20"/>
        </w:rPr>
        <w:t xml:space="preserve">of repurchases of common stock, net, repayment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senior bank debt borrowings of </w:t>
      </w:r>
      <w:r>
        <w:rPr>
          <w:rFonts w:ascii="Times New Roman;serif" w:hAnsi="Times New Roman;serif"/>
          <w:b w:val="false"/>
          <w:i w:val="false"/>
          <w:caps w:val="false"/>
          <w:smallCaps w:val="false"/>
          <w:strike w:val="false"/>
          <w:dstrike w:val="false"/>
          <w:sz w:val="20"/>
          <w:u w:val="none"/>
          <w:effect w:val="none"/>
        </w:rPr>
        <w:t>$170.0 million</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$146.3 million</w:t>
      </w:r>
      <w:r>
        <w:rPr>
          <w:caps w:val="false"/>
          <w:smallCaps w:val="false"/>
          <w:sz w:val="24"/>
        </w:rPr>
        <w:t xml:space="preserve"> </w:t>
      </w:r>
      <w:r>
        <w:rPr>
          <w:rFonts w:ascii="Times New Roman;serif" w:hAnsi="Times New Roman;serif"/>
          <w:b w:val="false"/>
          <w:i w:val="false"/>
          <w:caps w:val="false"/>
          <w:smallCaps w:val="false"/>
          <w:sz w:val="20"/>
        </w:rPr>
        <w:t xml:space="preserve">of distributions to non-controlling interests, </w:t>
      </w:r>
      <w:r>
        <w:rPr>
          <w:rFonts w:ascii="Times New Roman;serif" w:hAnsi="Times New Roman;serif"/>
          <w:b w:val="false"/>
          <w:i w:val="false"/>
          <w:caps w:val="false"/>
          <w:smallCaps w:val="false"/>
          <w:strike w:val="false"/>
          <w:dstrike w:val="false"/>
          <w:sz w:val="20"/>
          <w:u w:val="none"/>
          <w:effect w:val="none"/>
        </w:rPr>
        <w:t>$56.7 million</w:t>
      </w:r>
      <w:r>
        <w:rPr>
          <w:caps w:val="false"/>
          <w:smallCaps w:val="false"/>
          <w:sz w:val="24"/>
        </w:rPr>
        <w:t xml:space="preserve"> </w:t>
      </w:r>
      <w:r>
        <w:rPr>
          <w:rFonts w:ascii="Times New Roman;serif" w:hAnsi="Times New Roman;serif"/>
          <w:b w:val="false"/>
          <w:i w:val="false"/>
          <w:caps w:val="false"/>
          <w:smallCaps w:val="false"/>
          <w:sz w:val="20"/>
        </w:rPr>
        <w:t xml:space="preserve">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Affiliate equity purchases, net of issuances, and $46.7 million of taxes paid on shares withheld for share-based awards</w:t>
      </w:r>
      <w:r>
        <w:rPr>
          <w:rFonts w:ascii="Times New Roman;serif" w:hAnsi="Times New Roman;serif"/>
          <w:b w:val="false"/>
          <w:i w:val="false"/>
          <w:caps w:val="false"/>
          <w:smallCaps w:val="false"/>
          <w:strike w:val="false"/>
          <w:dstrike w:val="false"/>
          <w:sz w:val="20"/>
          <w:u w:val="none"/>
          <w:effect w:val="none"/>
        </w:rPr>
        <w:t xml:space="preserve">.  </w:t>
      </w:r>
      <w:r>
        <w:rPr>
          <w:rFonts w:ascii="Times New Roman;serif" w:hAnsi="Times New Roman;serif"/>
          <w:b w:val="false"/>
          <w:i w:val="false"/>
          <w:caps w:val="false"/>
          <w:smallCaps w:val="false"/>
          <w:sz w:val="20"/>
        </w:rPr>
        <w:t xml:space="preserve">These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items were partially offset by </w:t>
      </w:r>
      <w:r>
        <w:rPr>
          <w:rFonts w:ascii="Times New Roman;serif" w:hAnsi="Times New Roman;serif"/>
          <w:b w:val="false"/>
          <w:i w:val="false"/>
          <w:caps w:val="false"/>
          <w:smallCaps w:val="false"/>
          <w:strike w:val="false"/>
          <w:dstrike w:val="false"/>
          <w:sz w:val="20"/>
          <w:u w:val="none"/>
          <w:effect w:val="none"/>
        </w:rPr>
        <w:t>senior bank debt borrowings of $820.0 million.</w:t>
      </w:r>
      <w:r>
        <w:rPr>
          <w:caps w:val="false"/>
          <w:smallCaps w:val="false"/>
          <w:sz w:val="24"/>
        </w:rPr>
        <w:t xml:space="preserve">  </w:t>
      </w:r>
      <w:r>
        <w:rPr>
          <w:rFonts w:ascii="Times New Roman;serif" w:hAnsi="Times New Roman;serif"/>
          <w:b w:val="false"/>
          <w:i w:val="false"/>
          <w:caps w:val="false"/>
          <w:smallCaps w:val="false"/>
          <w:sz w:val="20"/>
        </w:rPr>
        <w:t xml:space="preserve">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cash flows were primarily attributable to the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Affiliate Equity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periodically purchase Affiliate equity from and issue Affiliate equity to our consolidated Affiliate partners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under agreements that provide us with a conditional right to call and Affiliate equity holders with a conditional right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put their Affiliate equity interests to us at certain intervals.  We have the right to settle a portion of these purchases in shares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common stock.  For Affiliates accounted for under the equity method, we do not typically have such put and call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arrangements.  The purchase price of these conditional purchases is generally calculated based upon a multiple of the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flow distributions, which is intended to represent fair value.  In certain cases, Affiliate equity holders are also permitted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 their equity interests to Affiliate partners or other parties, subject to our approval or other restrictions.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the current redemption value of Affiliate equity interests was </w:t>
      </w:r>
      <w:r>
        <w:rPr>
          <w:rFonts w:ascii="Times New Roman;serif" w:hAnsi="Times New Roman;serif"/>
          <w:b w:val="false"/>
          <w:i w:val="false"/>
          <w:caps w:val="false"/>
          <w:smallCaps w:val="false"/>
          <w:strike w:val="false"/>
          <w:dstrike w:val="false"/>
          <w:sz w:val="20"/>
          <w:u w:val="none"/>
          <w:effect w:val="none"/>
        </w:rPr>
        <w:t>$470.6 million</w:t>
      </w:r>
      <w:r>
        <w:rPr>
          <w:rFonts w:ascii="Times New Roman;serif" w:hAnsi="Times New Roman;serif"/>
          <w:b w:val="false"/>
          <w:i w:val="false"/>
          <w:caps w:val="false"/>
          <w:smallCaps w:val="false"/>
          <w:sz w:val="20"/>
        </w:rPr>
        <w:t xml:space="preserve">, of which </w:t>
      </w:r>
      <w:r>
        <w:rPr>
          <w:rFonts w:ascii="Times New Roman;serif" w:hAnsi="Times New Roman;serif"/>
          <w:b w:val="false"/>
          <w:i w:val="false"/>
          <w:caps w:val="false"/>
          <w:smallCaps w:val="false"/>
          <w:strike w:val="false"/>
          <w:dstrike w:val="false"/>
          <w:sz w:val="20"/>
          <w:u w:val="none"/>
          <w:effect w:val="none"/>
        </w:rPr>
        <w:t>$270.2 million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was presented as Redeemable non-controlling interests (including </w:t>
      </w:r>
      <w:r>
        <w:rPr>
          <w:rFonts w:ascii="Times New Roman;serif" w:hAnsi="Times New Roman;serif"/>
          <w:b w:val="false"/>
          <w:i w:val="false"/>
          <w:caps w:val="false"/>
          <w:smallCaps w:val="false"/>
          <w:strike w:val="false"/>
          <w:dstrike w:val="false"/>
          <w:sz w:val="20"/>
          <w:u w:val="none"/>
          <w:effect w:val="none"/>
        </w:rPr>
        <w:t>$32.9 million</w:t>
      </w:r>
      <w:r>
        <w:rPr>
          <w:caps w:val="false"/>
          <w:smallCaps w:val="false"/>
          <w:sz w:val="24"/>
        </w:rPr>
        <w:t xml:space="preserve"> </w:t>
      </w:r>
      <w:r>
        <w:rPr>
          <w:rFonts w:ascii="Times New Roman;serif" w:hAnsi="Times New Roman;serif"/>
          <w:b w:val="false"/>
          <w:i w:val="false"/>
          <w:caps w:val="false"/>
          <w:smallCaps w:val="false"/>
          <w:sz w:val="20"/>
        </w:rPr>
        <w:t xml:space="preserve">of consolidated Affiliate-sponsored investment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products primarily attributable to third-party investors), and </w:t>
      </w:r>
      <w:r>
        <w:rPr>
          <w:rFonts w:ascii="Times New Roman;serif" w:hAnsi="Times New Roman;serif"/>
          <w:b w:val="false"/>
          <w:i w:val="false"/>
          <w:caps w:val="false"/>
          <w:smallCaps w:val="false"/>
          <w:strike w:val="false"/>
          <w:dstrike w:val="false"/>
          <w:sz w:val="20"/>
          <w:u w:val="none"/>
          <w:effect w:val="none"/>
        </w:rPr>
        <w:t>$200.4 million</w:t>
      </w:r>
      <w:r>
        <w:rPr>
          <w:caps w:val="false"/>
          <w:smallCaps w:val="false"/>
          <w:sz w:val="24"/>
        </w:rPr>
        <w:t xml:space="preserve"> </w:t>
      </w:r>
      <w:r>
        <w:rPr>
          <w:rFonts w:ascii="Times New Roman;serif" w:hAnsi="Times New Roman;serif"/>
          <w:b w:val="false"/>
          <w:i w:val="false"/>
          <w:caps w:val="false"/>
          <w:smallCaps w:val="false"/>
          <w:sz w:val="20"/>
        </w:rPr>
        <w:t xml:space="preserve">was included in Other liabilities on the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Balance Sheets.  Although the timing and amounts of these purchases are difficult to predict, we paid </w:t>
      </w:r>
      <w:r>
        <w:rPr>
          <w:rFonts w:ascii="Times New Roman;serif" w:hAnsi="Times New Roman;serif"/>
          <w:b w:val="false"/>
          <w:i w:val="false"/>
          <w:caps w:val="false"/>
          <w:smallCaps w:val="false"/>
          <w:strike w:val="false"/>
          <w:dstrike w:val="false"/>
          <w:sz w:val="20"/>
          <w:u w:val="none"/>
          <w:effect w:val="none"/>
        </w:rPr>
        <w:t>$60.9 million</w:t>
      </w:r>
      <w:r>
        <w:rPr>
          <w:caps w:val="false"/>
          <w:smallCaps w:val="false"/>
          <w:sz w:val="24"/>
        </w:rPr>
        <w:t xml:space="preserve"> </w:t>
      </w:r>
      <w:r>
        <w:rPr>
          <w:rFonts w:ascii="Times New Roman;serif" w:hAnsi="Times New Roman;serif"/>
          <w:b w:val="false"/>
          <w:i w:val="false"/>
          <w:caps w:val="false"/>
          <w:smallCaps w:val="false"/>
          <w:sz w:val="20"/>
        </w:rPr>
        <w:t xml:space="preserve">for Affiliate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equity purchases and received </w:t>
      </w:r>
      <w:r>
        <w:rPr>
          <w:rFonts w:ascii="Times New Roman;serif" w:hAnsi="Times New Roman;serif"/>
          <w:b w:val="false"/>
          <w:i w:val="false"/>
          <w:caps w:val="false"/>
          <w:smallCaps w:val="false"/>
          <w:strike w:val="false"/>
          <w:dstrike w:val="false"/>
          <w:sz w:val="20"/>
          <w:u w:val="none"/>
          <w:effect w:val="none"/>
        </w:rPr>
        <w:t>$4.2 million</w:t>
      </w:r>
      <w:r>
        <w:rPr>
          <w:caps w:val="false"/>
          <w:smallCaps w:val="false"/>
          <w:sz w:val="24"/>
        </w:rPr>
        <w:t xml:space="preserve"> </w:t>
      </w:r>
      <w:r>
        <w:rPr>
          <w:rFonts w:ascii="Times New Roman;serif" w:hAnsi="Times New Roman;serif"/>
          <w:b w:val="false"/>
          <w:i w:val="false"/>
          <w:caps w:val="false"/>
          <w:smallCaps w:val="false"/>
          <w:sz w:val="20"/>
        </w:rPr>
        <w:t xml:space="preserve">for Affiliate equity issuances during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and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expect net purchases of approximately </w:t>
      </w:r>
      <w:r>
        <w:rPr>
          <w:rFonts w:ascii="Times New Roman;serif" w:hAnsi="Times New Roman;serif"/>
          <w:b w:val="false"/>
          <w:i w:val="false"/>
          <w:caps w:val="false"/>
          <w:smallCaps w:val="false"/>
          <w:strike w:val="false"/>
          <w:dstrike w:val="false"/>
          <w:sz w:val="20"/>
          <w:u w:val="none"/>
          <w:effect w:val="none"/>
        </w:rPr>
        <w:t>$35 million</w:t>
      </w:r>
      <w:r>
        <w:rPr>
          <w:caps w:val="false"/>
          <w:smallCaps w:val="false"/>
          <w:sz w:val="24"/>
        </w:rPr>
        <w:t xml:space="preserve"> </w:t>
      </w:r>
      <w:r>
        <w:rPr>
          <w:rFonts w:ascii="Times New Roman;serif" w:hAnsi="Times New Roman;serif"/>
          <w:b w:val="false"/>
          <w:i w:val="false"/>
          <w:caps w:val="false"/>
          <w:smallCaps w:val="false"/>
          <w:sz w:val="20"/>
        </w:rPr>
        <w:t xml:space="preserve">of Affiliate equity during the remainder 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In the event of a purchase,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become the owner of the cash flow associated with the purchased equity.  See Notes 11 and 12 of our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Share Repurchases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Board of Directors authorized share repurchase programs in </w:t>
      </w:r>
      <w:r>
        <w:rPr>
          <w:rFonts w:ascii="Times New Roman;serif" w:hAnsi="Times New Roman;serif"/>
          <w:b w:val="false"/>
          <w:i w:val="false"/>
          <w:caps w:val="false"/>
          <w:smallCaps w:val="false"/>
          <w:strike w:val="false"/>
          <w:dstrike w:val="false"/>
          <w:sz w:val="20"/>
          <w:u w:val="none"/>
          <w:effect w:val="none"/>
        </w:rPr>
        <w:t>July 2024</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January 2026</w:t>
      </w:r>
      <w:r>
        <w:rPr>
          <w:caps w:val="false"/>
          <w:smallCaps w:val="false"/>
          <w:sz w:val="24"/>
        </w:rPr>
        <w:t xml:space="preserve"> </w:t>
      </w:r>
      <w:r>
        <w:rPr>
          <w:rFonts w:ascii="Times New Roman;serif" w:hAnsi="Times New Roman;serif"/>
          <w:b w:val="false"/>
          <w:i w:val="false"/>
          <w:caps w:val="false"/>
          <w:smallCaps w:val="false"/>
          <w:sz w:val="20"/>
        </w:rPr>
        <w:t xml:space="preserve">to repurchase up to </w:t>
      </w:r>
      <w:r>
        <w:rPr>
          <w:rFonts w:ascii="Times New Roman;serif" w:hAnsi="Times New Roman;serif"/>
          <w:b w:val="false"/>
          <w:i w:val="false"/>
          <w:caps w:val="false"/>
          <w:smallCaps w:val="false"/>
          <w:strike w:val="false"/>
          <w:dstrike w:val="false"/>
          <w:sz w:val="20"/>
          <w:u w:val="none"/>
          <w:effect w:val="none"/>
        </w:rPr>
        <w:t xml:space="preserve">5.4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4.2 million</w:t>
      </w:r>
      <w:r>
        <w:rPr>
          <w:caps w:val="false"/>
          <w:smallCaps w:val="false"/>
          <w:sz w:val="24"/>
        </w:rPr>
        <w:t xml:space="preserve"> </w:t>
      </w:r>
      <w:r>
        <w:rPr>
          <w:rFonts w:ascii="Times New Roman;serif" w:hAnsi="Times New Roman;serif"/>
          <w:b w:val="false"/>
          <w:i w:val="false"/>
          <w:caps w:val="false"/>
          <w:smallCaps w:val="false"/>
          <w:sz w:val="20"/>
        </w:rPr>
        <w:t xml:space="preserve">shares of our common stock, respectively, and these authorizations have no expiry.  Purchases may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made from time to time, at management’s discretion, in the open market or in privately negotiated transactions,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the use of trading plans, as well as pursuant to accelerated share repurchase programs or other share repurchase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strategies that may include derivative financial instruments.  During the </w:t>
      </w:r>
      <w:r>
        <w:rPr>
          <w:rFonts w:ascii="Times New Roman;serif" w:hAnsi="Times New Roman;serif"/>
          <w:b w:val="false"/>
          <w:i w:val="false"/>
          <w:caps w:val="false"/>
          <w:smallCaps w:val="false"/>
          <w:strike w:val="false"/>
          <w:dstrike w:val="false"/>
          <w:sz w:val="20"/>
          <w:u w:val="none"/>
          <w:effect w:val="none"/>
        </w:rPr>
        <w:t>three</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repurchased </w:t>
      </w:r>
      <w:r>
        <w:rPr>
          <w:rFonts w:ascii="Times New Roman;serif" w:hAnsi="Times New Roman;serif"/>
          <w:b w:val="false"/>
          <w:i w:val="false"/>
          <w:caps w:val="false"/>
          <w:smallCaps w:val="false"/>
          <w:strike w:val="false"/>
          <w:dstrike w:val="false"/>
          <w:sz w:val="20"/>
          <w:u w:val="none"/>
          <w:effect w:val="none"/>
        </w:rPr>
        <w:t>0.6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1.2 million</w:t>
      </w:r>
      <w:r>
        <w:rPr>
          <w:caps w:val="false"/>
          <w:smallCaps w:val="false"/>
          <w:sz w:val="24"/>
        </w:rPr>
        <w:t xml:space="preserve"> </w:t>
      </w:r>
      <w:r>
        <w:rPr>
          <w:rFonts w:ascii="Times New Roman;serif" w:hAnsi="Times New Roman;serif"/>
          <w:b w:val="false"/>
          <w:i w:val="false"/>
          <w:caps w:val="false"/>
          <w:smallCaps w:val="false"/>
          <w:sz w:val="20"/>
        </w:rPr>
        <w:t xml:space="preserve">shares of our common stock at an average price per share of </w:t>
      </w:r>
      <w:r>
        <w:rPr>
          <w:rFonts w:ascii="Times New Roman;serif" w:hAnsi="Times New Roman;serif"/>
          <w:b w:val="false"/>
          <w:i w:val="false"/>
          <w:caps w:val="false"/>
          <w:smallCaps w:val="false"/>
          <w:strike w:val="false"/>
          <w:dstrike w:val="false"/>
          <w:sz w:val="20"/>
          <w:u w:val="none"/>
          <w:effect w:val="none"/>
        </w:rPr>
        <w:t>$313.56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$310.29</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respectively.  </w:t>
      </w:r>
      <w:r>
        <w:rPr>
          <w:rFonts w:ascii="Times New Roman;serif" w:hAnsi="Times New Roman;serif"/>
          <w:b w:val="false"/>
          <w:i w:val="false"/>
          <w:caps w:val="false"/>
          <w:smallCaps w:val="false"/>
          <w:strike w:val="false"/>
          <w:dstrike w:val="false"/>
          <w:sz w:val="20"/>
          <w:u w:val="none"/>
          <w:effect w:val="none"/>
        </w:rPr>
        <w:t>As of June 30, 2026, there were a total of 5.0 million</w:t>
      </w:r>
      <w:r>
        <w:rPr>
          <w:caps w:val="false"/>
          <w:smallCaps w:val="false"/>
          <w:strike w:val="false"/>
          <w:dstrike w:val="false"/>
          <w:color w:val="EE2724"/>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available for repurchase under our share repurchase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Debt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the carrying value of our outstanding indebtedness and a reconciliation to Debt as presented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our Consolidated Balance Sheets:</w:t>
      </w:r>
    </w:p>
    <w:tbl>
      <w:tblPr>
        <w:tblW w:w="4537" w:type="dxa"/>
        <w:jc w:val="left"/>
        <w:tblInd w:w="0" w:type="dxa"/>
        <w:tblLayout w:type="fixed"/>
        <w:tblCellMar>
          <w:top w:w="28" w:type="dxa"/>
          <w:left w:w="28" w:type="dxa"/>
          <w:bottom w:w="28" w:type="dxa"/>
          <w:right w:w="28" w:type="dxa"/>
        </w:tblCellMar>
      </w:tblPr>
      <w:tblGrid>
        <w:gridCol w:w="2416"/>
        <w:gridCol w:w="1141"/>
        <w:gridCol w:w="109"/>
        <w:gridCol w:w="871"/>
      </w:tblGrid>
      <w:tr>
        <w:trPr/>
        <w:tc>
          <w:tcPr>
            <w:tcW w:w="241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June 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2026</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Senior bank debt</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$650.0</w:t>
            </w:r>
          </w:p>
        </w:tc>
      </w:tr>
      <w:tr>
        <w:trPr/>
        <w:tc>
          <w:tcPr>
            <w:tcW w:w="24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Senior notes</w:t>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1,172.2</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Junior subordinated notes</w:t>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r>
      <w:tr>
        <w:trPr/>
        <w:tc>
          <w:tcPr>
            <w:tcW w:w="24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Junior convertible securities</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carrying value</w:t>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3,038.3</w:t>
            </w:r>
          </w:p>
        </w:tc>
      </w:tr>
      <w:tr>
        <w:trPr/>
        <w:tc>
          <w:tcPr>
            <w:tcW w:w="24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 issuance costs</w:t>
            </w:r>
          </w:p>
        </w:tc>
        <w:tc>
          <w:tcPr>
            <w:tcW w:w="11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(34.3)</w:t>
            </w:r>
          </w:p>
        </w:tc>
      </w:tr>
      <w:tr>
        <w:trPr/>
        <w:tc>
          <w:tcPr>
            <w:tcW w:w="24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Debt</w:t>
            </w:r>
          </w:p>
        </w:tc>
        <w:tc>
          <w:tcPr>
            <w:tcW w:w="11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$3,004.0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the weighted average maturity of our outstanding senior and junior subordinated notes is 22 years, 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which is maturing in 2030 and beyond.  Our nearest term maturity with respect to our senior and junior subordinated notes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relates to our $350.0 million senior notes due June 2030 (the “2030 senior notes”).  See Note 6 of our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Senior Bank Debt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had a </w:t>
      </w:r>
      <w:r>
        <w:rPr>
          <w:rFonts w:ascii="Times New Roman;serif" w:hAnsi="Times New Roman;serif"/>
          <w:b w:val="false"/>
          <w:i w:val="false"/>
          <w:caps w:val="false"/>
          <w:smallCaps w:val="false"/>
          <w:strike w:val="false"/>
          <w:dstrike w:val="false"/>
          <w:sz w:val="20"/>
          <w:u w:val="none"/>
          <w:effect w:val="none"/>
        </w:rPr>
        <w:t>$1.25 billion</w:t>
      </w:r>
      <w:r>
        <w:rPr>
          <w:caps w:val="false"/>
          <w:smallCaps w:val="false"/>
          <w:sz w:val="24"/>
        </w:rPr>
        <w:t xml:space="preserve"> </w:t>
      </w:r>
      <w:r>
        <w:rPr>
          <w:rFonts w:ascii="Times New Roman;serif" w:hAnsi="Times New Roman;serif"/>
          <w:b w:val="false"/>
          <w:i w:val="false"/>
          <w:caps w:val="false"/>
          <w:smallCaps w:val="false"/>
          <w:sz w:val="20"/>
        </w:rPr>
        <w:t xml:space="preserve">revolver.  </w:t>
      </w:r>
      <w:r>
        <w:rPr>
          <w:rFonts w:ascii="Times New Roman;serif" w:hAnsi="Times New Roman;serif"/>
          <w:b w:val="false"/>
          <w:i w:val="false"/>
          <w:caps w:val="false"/>
          <w:smallCaps w:val="false"/>
          <w:strike w:val="false"/>
          <w:dstrike w:val="false"/>
          <w:sz w:val="20"/>
          <w:u w:val="none"/>
          <w:effect w:val="none"/>
        </w:rPr>
        <w:t xml:space="preserve">The Company amended and restated the revolver in June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extending the maturity from November 15, 2029 to June 9, 2031.</w:t>
      </w:r>
      <w:r>
        <w:rPr>
          <w:caps w:val="false"/>
          <w:smallCaps w:val="false"/>
          <w:sz w:val="24"/>
        </w:rPr>
        <w:t xml:space="preserve">  </w:t>
      </w:r>
      <w:r>
        <w:rPr>
          <w:rFonts w:ascii="Times New Roman;serif" w:hAnsi="Times New Roman;serif"/>
          <w:b w:val="false"/>
          <w:i w:val="false"/>
          <w:caps w:val="false"/>
          <w:smallCaps w:val="false"/>
          <w:sz w:val="20"/>
        </w:rPr>
        <w:t xml:space="preserve">Subject to certain conditions, we may increase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commitments under the revolver by up to an additional </w:t>
      </w:r>
      <w:r>
        <w:rPr>
          <w:rFonts w:ascii="Times New Roman;serif" w:hAnsi="Times New Roman;serif"/>
          <w:b w:val="false"/>
          <w:i w:val="false"/>
          <w:caps w:val="false"/>
          <w:smallCaps w:val="false"/>
          <w:strike w:val="false"/>
          <w:dstrike w:val="false"/>
          <w:sz w:val="20"/>
          <w:u w:val="none"/>
          <w:effect w:val="none"/>
        </w:rPr>
        <w:t>$750.0 million</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had outstanding borrowings under the revolver of </w:t>
      </w:r>
      <w:r>
        <w:rPr>
          <w:rFonts w:ascii="Times New Roman;serif" w:hAnsi="Times New Roman;serif"/>
          <w:b w:val="false"/>
          <w:i w:val="false"/>
          <w:caps w:val="false"/>
          <w:smallCaps w:val="false"/>
          <w:strike w:val="false"/>
          <w:dstrike w:val="false"/>
          <w:sz w:val="20"/>
          <w:u w:val="none"/>
          <w:effect w:val="none"/>
        </w:rPr>
        <w:t>$650.0 million</w:t>
      </w:r>
      <w:r>
        <w:rPr>
          <w:rFonts w:ascii="Times New Roman;serif" w:hAnsi="Times New Roman;serif"/>
          <w:b w:val="false"/>
          <w:i w:val="false"/>
          <w:caps w:val="false"/>
          <w:smallCaps w:val="false"/>
          <w:sz w:val="20"/>
        </w:rPr>
        <w:t xml:space="preserve">, and we could borrow all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remaining </w:t>
      </w:r>
      <w:r>
        <w:rPr>
          <w:rFonts w:ascii="Times New Roman;serif" w:hAnsi="Times New Roman;serif"/>
          <w:b w:val="false"/>
          <w:i w:val="false"/>
          <w:caps w:val="false"/>
          <w:smallCaps w:val="false"/>
          <w:strike w:val="false"/>
          <w:dstrike w:val="false"/>
          <w:sz w:val="20"/>
          <w:u w:val="none"/>
          <w:effect w:val="none"/>
        </w:rPr>
        <w:t>capacity</w:t>
      </w:r>
      <w:r>
        <w:rPr>
          <w:caps w:val="false"/>
          <w:smallCaps w:val="false"/>
          <w:sz w:val="24"/>
        </w:rPr>
        <w:t xml:space="preserve"> </w:t>
      </w:r>
      <w:r>
        <w:rPr>
          <w:rFonts w:ascii="Times New Roman;serif" w:hAnsi="Times New Roman;serif"/>
          <w:b w:val="false"/>
          <w:i w:val="false"/>
          <w:caps w:val="false"/>
          <w:smallCaps w:val="false"/>
          <w:sz w:val="20"/>
        </w:rPr>
        <w:t>and maintain compliance with all of the terms of the revolver</w:t>
      </w:r>
      <w:r>
        <w:rPr>
          <w:rFonts w:ascii="Times New Roman;serif" w:hAnsi="Times New Roman;serif"/>
          <w:b w:val="false"/>
          <w:i w:val="false"/>
          <w:caps w:val="false"/>
          <w:smallCaps w:val="false"/>
          <w:strike w:val="false"/>
          <w:dstrike w:val="false"/>
          <w:sz w:val="20"/>
          <w:u w:val="none"/>
          <w:effect w:val="none"/>
        </w:rPr>
        <w:t>.</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Senior Notes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had senior notes outstanding, the respective principal terms of which are presented and described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below:</w:t>
      </w:r>
    </w:p>
    <w:tbl>
      <w:tblPr>
        <w:tblW w:w="6256" w:type="dxa"/>
        <w:jc w:val="left"/>
        <w:tblInd w:w="0" w:type="dxa"/>
        <w:tblLayout w:type="fixed"/>
        <w:tblCellMar>
          <w:top w:w="28" w:type="dxa"/>
          <w:left w:w="28" w:type="dxa"/>
          <w:bottom w:w="28" w:type="dxa"/>
          <w:right w:w="28" w:type="dxa"/>
        </w:tblCellMar>
      </w:tblPr>
      <w:tblGrid>
        <w:gridCol w:w="1921"/>
        <w:gridCol w:w="109"/>
        <w:gridCol w:w="1291"/>
        <w:gridCol w:w="109"/>
        <w:gridCol w:w="1291"/>
        <w:gridCol w:w="109"/>
        <w:gridCol w:w="1426"/>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2036</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Senior Notes</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Issue date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December 2025</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Maturity date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2036</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Par value (in millions)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$425.0</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Stated coupon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Coupon frequency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to customary event of default provisions, the indenture governing the senior notes, including the applicable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supplemental indentures with respect to the 2030, 2034, and 2036 senior notes, limits our ability to consolidate, merge, or sell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or substantially all of our assets, and requires us to make an offer to repurchase the applicable senior notes at 101%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principal amount (plus any accrued and unpaid interest), upon certain change of control triggering events.  The senior notes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redeemed, in whole or in part, at a make-whole redemption price (plus accrued and unpaid interest), at any time prior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March 15, 2030, in the case of the 2030 senior notes, at any time prior to May 20, 2034, in the case of the 2034 senior notes,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at any time prior to November 15, 2035, in the case of the 2036 senior notes.  In addition, the 2030, 2034, and 2036 senior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notes may be redeemed at par (plus accrued and unpaid interest), in whole or in part, at any time, on or after March 15, 2030,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20, 2034, and November 15, 2035, respectively.  We may also repurchase senior notes in the open market or in privately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negotiated transactions from time to time at management’s discretion.</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Junior Subordinated Notes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had junior subordinated notes outstanding, the respective principal terms of which are presented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described below:</w:t>
      </w:r>
    </w:p>
    <w:tbl>
      <w:tblPr>
        <w:tblW w:w="9006" w:type="dxa"/>
        <w:jc w:val="left"/>
        <w:tblInd w:w="0" w:type="dxa"/>
        <w:tblLayout w:type="fixed"/>
        <w:tblCellMar>
          <w:top w:w="28" w:type="dxa"/>
          <w:left w:w="28" w:type="dxa"/>
          <w:bottom w:w="28" w:type="dxa"/>
          <w:right w:w="28" w:type="dxa"/>
        </w:tblCellMar>
      </w:tblPr>
      <w:tblGrid>
        <w:gridCol w:w="1921"/>
        <w:gridCol w:w="109"/>
        <w:gridCol w:w="1651"/>
        <w:gridCol w:w="109"/>
        <w:gridCol w:w="1651"/>
        <w:gridCol w:w="109"/>
        <w:gridCol w:w="1651"/>
        <w:gridCol w:w="109"/>
        <w:gridCol w:w="1696"/>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2059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2064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Issue date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July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2024</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Maturity date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2064</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Par value (in millions)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$450.0</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Stated coupon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w:t>
            </w:r>
          </w:p>
        </w:tc>
      </w:tr>
      <w:tr>
        <w:trPr/>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Coupon frequency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r>
      <w:tr>
        <w:trPr/>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NYSE Symbol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MGRE</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each of the 2059 and the 2060 junior subordinated notes could be redeemed at any time, in whole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part.  The other junior subordinated notes may be redeemed at any time, in whole or in part, on or after September 30,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the 2061 junior subordinated notes, and on or after March 30, 2029, in the case of the 2064 junior subordinated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notes.  In each case, the junior subordinated notes may be redeemed at </w:t>
      </w:r>
      <w:r>
        <w:rPr>
          <w:rFonts w:ascii="Times New Roman;serif" w:hAnsi="Times New Roman;serif"/>
          <w:b w:val="false"/>
          <w:i w:val="false"/>
          <w:caps w:val="false"/>
          <w:smallCaps w:val="false"/>
          <w:strike w:val="false"/>
          <w:dstrike w:val="false"/>
          <w:sz w:val="20"/>
          <w:u w:val="none"/>
          <w:effect w:val="none"/>
        </w:rPr>
        <w:t>100%</w:t>
      </w:r>
      <w:r>
        <w:rPr>
          <w:caps w:val="false"/>
          <w:smallCaps w:val="false"/>
          <w:sz w:val="24"/>
        </w:rPr>
        <w:t xml:space="preserve"> </w:t>
      </w:r>
      <w:r>
        <w:rPr>
          <w:rFonts w:ascii="Times New Roman;serif" w:hAnsi="Times New Roman;serif"/>
          <w:b w:val="false"/>
          <w:i w:val="false"/>
          <w:caps w:val="false"/>
          <w:smallCaps w:val="false"/>
          <w:sz w:val="20"/>
        </w:rPr>
        <w:t xml:space="preserve">of the principal amount of the notes being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redeemed, plus any accrued and unpaid interest thereon.  Prior to the applicable redemption date, at our option, the applicable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junior subordinated notes may also be redeemed, in whole but not in part, at </w:t>
      </w:r>
      <w:r>
        <w:rPr>
          <w:rFonts w:ascii="Times New Roman;serif" w:hAnsi="Times New Roman;serif"/>
          <w:b w:val="false"/>
          <w:i w:val="false"/>
          <w:caps w:val="false"/>
          <w:smallCaps w:val="false"/>
          <w:strike w:val="false"/>
          <w:dstrike w:val="false"/>
          <w:sz w:val="20"/>
          <w:u w:val="none"/>
          <w:effect w:val="none"/>
        </w:rPr>
        <w:t>100%</w:t>
      </w:r>
      <w:r>
        <w:rPr>
          <w:caps w:val="false"/>
          <w:smallCaps w:val="false"/>
          <w:sz w:val="24"/>
        </w:rPr>
        <w:t xml:space="preserve"> </w:t>
      </w:r>
      <w:r>
        <w:rPr>
          <w:rFonts w:ascii="Times New Roman;serif" w:hAnsi="Times New Roman;serif"/>
          <w:b w:val="false"/>
          <w:i w:val="false"/>
          <w:caps w:val="false"/>
          <w:smallCaps w:val="false"/>
          <w:sz w:val="20"/>
        </w:rPr>
        <w:t xml:space="preserve">of the principal amount, plus any accrued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unpaid interest, if certain changes in tax laws, regulations, or interpretations occur; or at </w:t>
      </w:r>
      <w:r>
        <w:rPr>
          <w:rFonts w:ascii="Times New Roman;serif" w:hAnsi="Times New Roman;serif"/>
          <w:b w:val="false"/>
          <w:i w:val="false"/>
          <w:caps w:val="false"/>
          <w:smallCaps w:val="false"/>
          <w:strike w:val="false"/>
          <w:dstrike w:val="false"/>
          <w:sz w:val="20"/>
          <w:u w:val="none"/>
          <w:effect w:val="none"/>
        </w:rPr>
        <w:t>102%</w:t>
      </w:r>
      <w:r>
        <w:rPr>
          <w:caps w:val="false"/>
          <w:smallCaps w:val="false"/>
          <w:sz w:val="24"/>
        </w:rPr>
        <w:t xml:space="preserve"> </w:t>
      </w:r>
      <w:r>
        <w:rPr>
          <w:rFonts w:ascii="Times New Roman;serif" w:hAnsi="Times New Roman;serif"/>
          <w:b w:val="false"/>
          <w:i w:val="false"/>
          <w:caps w:val="false"/>
          <w:smallCaps w:val="false"/>
          <w:sz w:val="20"/>
        </w:rPr>
        <w:t xml:space="preserve">of the principal amount, plus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accrued and unpaid interest, if a rating agency makes certain changes relating to the equity credit criteria for securities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features similar to the applicable notes.</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Junior Convertible Securitie</w:t>
      </w:r>
      <w:r>
        <w:rPr>
          <w:rFonts w:ascii="Times New Roman;serif" w:hAnsi="Times New Roman;serif"/>
          <w:b w:val="false"/>
          <w:i/>
          <w:sz w:val="20"/>
        </w:rPr>
        <w: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December 8, 2025, we delivered notice that we had elected to redeem all of our outstanding </w:t>
      </w:r>
      <w:r>
        <w:rPr>
          <w:rFonts w:ascii="Times New Roman;serif" w:hAnsi="Times New Roman;serif"/>
          <w:b w:val="false"/>
          <w:i w:val="false"/>
          <w:caps w:val="false"/>
          <w:smallCaps w:val="false"/>
          <w:strike w:val="false"/>
          <w:dstrike w:val="false"/>
          <w:sz w:val="20"/>
          <w:u w:val="none"/>
          <w:effect w:val="none"/>
        </w:rPr>
        <w:t>5.15%</w:t>
      </w:r>
      <w:r>
        <w:rPr>
          <w:caps w:val="false"/>
          <w:smallCaps w:val="false"/>
          <w:sz w:val="24"/>
        </w:rPr>
        <w:t xml:space="preserve"> </w:t>
      </w:r>
      <w:r>
        <w:rPr>
          <w:rFonts w:ascii="Times New Roman;serif" w:hAnsi="Times New Roman;serif"/>
          <w:b w:val="false"/>
          <w:i w:val="false"/>
          <w:caps w:val="false"/>
          <w:smallCaps w:val="false"/>
          <w:sz w:val="20"/>
        </w:rPr>
        <w:t xml:space="preserve">junior convertible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trust preferred securities (the “junior convertible securities”) on December 29, 2025 (the “Redemption Date”), and announced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intention to settle any and all conversion obligations in cash.  Substantially all holders of the junior convertible securities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delivered requests to convert their securities prior to the Redemption Date.  On December 15, 2025 (the “Election Date”),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made an irrevocable election to settle our conversion obligations in cash by reference to the daily volume weighted average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price of our common stock during each applicable ten trading day conversion reference period.  These conversions resulted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settlement value in excess of the associated carrying value (the “conversion premium”).  As of December 31, 2025,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conversion premium of </w:t>
      </w:r>
      <w:r>
        <w:rPr>
          <w:rFonts w:ascii="Times New Roman;serif" w:hAnsi="Times New Roman;serif"/>
          <w:b w:val="false"/>
          <w:i w:val="false"/>
          <w:caps w:val="false"/>
          <w:smallCaps w:val="false"/>
          <w:strike w:val="false"/>
          <w:dstrike w:val="false"/>
          <w:sz w:val="20"/>
          <w:u w:val="none"/>
          <w:effect w:val="none"/>
        </w:rPr>
        <w:t>$155.5 million</w:t>
      </w:r>
      <w:r>
        <w:rPr>
          <w:caps w:val="false"/>
          <w:smallCaps w:val="false"/>
          <w:sz w:val="24"/>
        </w:rPr>
        <w:t xml:space="preserve"> </w:t>
      </w:r>
      <w:r>
        <w:rPr>
          <w:rFonts w:ascii="Times New Roman;serif" w:hAnsi="Times New Roman;serif"/>
          <w:b w:val="false"/>
          <w:i w:val="false"/>
          <w:caps w:val="false"/>
          <w:smallCaps w:val="false"/>
          <w:sz w:val="20"/>
        </w:rPr>
        <w:t>was recorded within Other liabilities, with a corresponding reduction to Additional paid-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capital.  In addition, the conversion resulted in a reduction to Deferred tax liability (net) on the Consolidated Balance Sheets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$38.9 million</w:t>
      </w:r>
      <w:r>
        <w:rPr>
          <w:rFonts w:ascii="Times New Roman;serif" w:hAnsi="Times New Roman;serif"/>
          <w:b w:val="false"/>
          <w:i w:val="false"/>
          <w:caps w:val="false"/>
          <w:smallCaps w:val="false"/>
          <w:sz w:val="20"/>
        </w:rPr>
        <w:t xml:space="preserve">, with a corresponding increase to Additional paid-in capital.  Our election to settle each applicable conversion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premium in cash using a ten-day reference period was accounted for as a forward sale contract, which resulted in a </w:t>
      </w:r>
      <w:r>
        <w:rPr>
          <w:rFonts w:ascii="Times New Roman;serif" w:hAnsi="Times New Roman;serif"/>
          <w:b w:val="false"/>
          <w:i w:val="false"/>
          <w:caps w:val="false"/>
          <w:smallCaps w:val="false"/>
          <w:strike w:val="false"/>
          <w:dstrike w:val="false"/>
          <w:sz w:val="20"/>
          <w:u w:val="none"/>
          <w:effect w:val="none"/>
        </w:rPr>
        <w:t>$9.2 million</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 recorded in Other expenses (net), in the fourth quarter of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the Redemption Date, we redeemed $1.1 million of junior convertible securities which were not converted, reflecting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principal amount of the redeemed securities, plus accrued and unpaid interest, up to, but not including, the Redemption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January 2026, we settled each of our applicable conversion obligations in cash for an aggregate amount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$514.6 million</w:t>
      </w:r>
      <w:r>
        <w:rPr>
          <w:caps w:val="false"/>
          <w:smallCaps w:val="false"/>
          <w:sz w:val="24"/>
        </w:rPr>
        <w:t xml:space="preserve"> </w:t>
      </w:r>
      <w:r>
        <w:rPr>
          <w:rFonts w:ascii="Times New Roman;serif" w:hAnsi="Times New Roman;serif"/>
          <w:b w:val="false"/>
          <w:i w:val="false"/>
          <w:caps w:val="false"/>
          <w:smallCaps w:val="false"/>
          <w:sz w:val="20"/>
        </w:rPr>
        <w:t xml:space="preserve">which resulted in an incremental expense related to the forward sale contract of </w:t>
      </w:r>
      <w:r>
        <w:rPr>
          <w:rFonts w:ascii="Times New Roman;serif" w:hAnsi="Times New Roman;serif"/>
          <w:b w:val="false"/>
          <w:i w:val="false"/>
          <w:caps w:val="false"/>
          <w:smallCaps w:val="false"/>
          <w:strike w:val="false"/>
          <w:dstrike w:val="false"/>
          <w:sz w:val="20"/>
          <w:u w:val="none"/>
          <w:effect w:val="none"/>
        </w:rPr>
        <w:t>$9.3 million</w:t>
      </w:r>
      <w:r>
        <w:rPr>
          <w:rFonts w:ascii="Times New Roman;serif" w:hAnsi="Times New Roman;serif"/>
          <w:b w:val="false"/>
          <w:i w:val="false"/>
          <w:caps w:val="false"/>
          <w:smallCaps w:val="false"/>
          <w:sz w:val="20"/>
        </w:rPr>
        <w:t xml:space="preserve">.  The junior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convertible securities were considered contingent payment debt instruments under federal income tax regulations,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required us to deduct interest in an amount greater than our reported interest expense (“excess interest expense deductions”).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a result of the settlement of these securities, we incurred a current cash tax liability of approximately </w:t>
      </w:r>
      <w:r>
        <w:rPr>
          <w:rFonts w:ascii="Times New Roman;serif" w:hAnsi="Times New Roman;serif"/>
          <w:b w:val="false"/>
          <w:i w:val="false"/>
          <w:caps w:val="false"/>
          <w:smallCaps w:val="false"/>
          <w:strike w:val="false"/>
          <w:dstrike w:val="false"/>
          <w:sz w:val="20"/>
          <w:u w:val="none"/>
          <w:effect w:val="none"/>
        </w:rPr>
        <w:t>$56 million</w:t>
      </w:r>
      <w:r>
        <w:rPr>
          <w:rFonts w:ascii="Times New Roman;serif" w:hAnsi="Times New Roman;serif"/>
          <w:b w:val="false"/>
          <w:i w:val="false"/>
          <w:caps w:val="false"/>
          <w:smallCaps w:val="false"/>
          <w:sz w:val="20"/>
        </w:rPr>
        <w:t xml:space="preserve">, reflective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recapture of excess interest expense deductions.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Prior to their redemption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requests for conversion by the holders, as applicable and described above, the junior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convertible securities bore interest at a rate of 5.15%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annum, which interest payments were payable quarterly in cash.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Equity Distribution Program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first quarter of 2025, we entered into an equity distribution agreement and forward sale agreements with several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major securities firms under which we may, from time to time, issue and sell shares of our common stock (immediately or on a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forward basis) having an aggregate sales price of up to </w:t>
      </w:r>
      <w:r>
        <w:rPr>
          <w:rFonts w:ascii="Times New Roman;serif" w:hAnsi="Times New Roman;serif"/>
          <w:b w:val="false"/>
          <w:i w:val="false"/>
          <w:caps w:val="false"/>
          <w:smallCaps w:val="false"/>
          <w:strike w:val="false"/>
          <w:dstrike w:val="false"/>
          <w:sz w:val="20"/>
          <w:u w:val="none"/>
          <w:effect w:val="none"/>
        </w:rPr>
        <w:t>$500.0 million</w:t>
      </w:r>
      <w:r>
        <w:rPr>
          <w:caps w:val="false"/>
          <w:smallCaps w:val="false"/>
          <w:sz w:val="24"/>
        </w:rPr>
        <w:t xml:space="preserve"> </w:t>
      </w:r>
      <w:r>
        <w:rPr>
          <w:rFonts w:ascii="Times New Roman;serif" w:hAnsi="Times New Roman;serif"/>
          <w:b w:val="false"/>
          <w:i w:val="false"/>
          <w:caps w:val="false"/>
          <w:smallCaps w:val="false"/>
          <w:sz w:val="20"/>
        </w:rPr>
        <w:t xml:space="preserve">(the “equity distribution program”).  This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distribution program superseded and replaced our prior equity distribution program.  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rPr>
        <w:t xml:space="preserve">sales had occurred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the equity distribution program.</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Commitments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7 of our Consolidated Financial Statements.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Other Contingent Commitments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Notes 4 and 7 of our Consolidated Financial Statements.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Leases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our lease obligations were </w:t>
      </w:r>
      <w:r>
        <w:rPr>
          <w:rFonts w:ascii="Times New Roman;serif" w:hAnsi="Times New Roman;serif"/>
          <w:b w:val="false"/>
          <w:i w:val="false"/>
          <w:caps w:val="false"/>
          <w:smallCaps w:val="false"/>
          <w:strike w:val="false"/>
          <w:dstrike w:val="false"/>
          <w:sz w:val="20"/>
          <w:u w:val="none"/>
          <w:effect w:val="none"/>
        </w:rPr>
        <w:t>$14.0 million</w:t>
      </w:r>
      <w:r>
        <w:rPr>
          <w:caps w:val="false"/>
          <w:smallCaps w:val="false"/>
          <w:sz w:val="24"/>
        </w:rPr>
        <w:t xml:space="preserve"> </w:t>
      </w:r>
      <w:r>
        <w:rPr>
          <w:rFonts w:ascii="Times New Roman;serif" w:hAnsi="Times New Roman;serif"/>
          <w:b w:val="false"/>
          <w:i w:val="false"/>
          <w:caps w:val="false"/>
          <w:smallCaps w:val="false"/>
          <w:sz w:val="20"/>
        </w:rPr>
        <w:t xml:space="preserve">for the remainder 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$61.0 million</w:t>
      </w:r>
      <w:r>
        <w:rPr>
          <w:caps w:val="false"/>
          <w:smallCaps w:val="false"/>
          <w:sz w:val="24"/>
        </w:rPr>
        <w:t xml:space="preserve"> </w:t>
      </w:r>
      <w:r>
        <w:rPr>
          <w:rFonts w:ascii="Times New Roman;serif" w:hAnsi="Times New Roman;serif"/>
          <w:b w:val="false"/>
          <w:i w:val="false"/>
          <w:caps w:val="false"/>
          <w:smallCaps w:val="false"/>
          <w:sz w:val="20"/>
        </w:rPr>
        <w:t xml:space="preserve">from 2027 through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2028, </w:t>
      </w:r>
      <w:r>
        <w:rPr>
          <w:rFonts w:ascii="Times New Roman;serif" w:hAnsi="Times New Roman;serif"/>
          <w:b w:val="false"/>
          <w:i w:val="false"/>
          <w:caps w:val="false"/>
          <w:smallCaps w:val="false"/>
          <w:strike w:val="false"/>
          <w:dstrike w:val="false"/>
          <w:sz w:val="20"/>
          <w:u w:val="none"/>
          <w:effect w:val="none"/>
        </w:rPr>
        <w:t>$57.3 million</w:t>
      </w:r>
      <w:r>
        <w:rPr>
          <w:caps w:val="false"/>
          <w:smallCaps w:val="false"/>
          <w:sz w:val="24"/>
        </w:rPr>
        <w:t xml:space="preserve"> </w:t>
      </w:r>
      <w:r>
        <w:rPr>
          <w:rFonts w:ascii="Times New Roman;serif" w:hAnsi="Times New Roman;serif"/>
          <w:b w:val="false"/>
          <w:i w:val="false"/>
          <w:caps w:val="false"/>
          <w:smallCaps w:val="false"/>
          <w:sz w:val="20"/>
        </w:rPr>
        <w:t xml:space="preserve">from 2029 through 2030, and </w:t>
      </w:r>
      <w:r>
        <w:rPr>
          <w:rFonts w:ascii="Times New Roman;serif" w:hAnsi="Times New Roman;serif"/>
          <w:b w:val="false"/>
          <w:i w:val="false"/>
          <w:caps w:val="false"/>
          <w:smallCaps w:val="false"/>
          <w:strike w:val="false"/>
          <w:dstrike w:val="false"/>
          <w:sz w:val="20"/>
          <w:u w:val="none"/>
          <w:effect w:val="none"/>
        </w:rPr>
        <w:t>$62.7 million</w:t>
      </w:r>
      <w:r>
        <w:rPr>
          <w:caps w:val="false"/>
          <w:smallCaps w:val="false"/>
          <w:sz w:val="24"/>
        </w:rPr>
        <w:t xml:space="preserve"> </w:t>
      </w:r>
      <w:r>
        <w:rPr>
          <w:rFonts w:ascii="Times New Roman;serif" w:hAnsi="Times New Roman;serif"/>
          <w:b w:val="false"/>
          <w:i w:val="false"/>
          <w:caps w:val="false"/>
          <w:smallCaps w:val="false"/>
          <w:sz w:val="20"/>
        </w:rPr>
        <w:t xml:space="preserve">thereafter.  The portion of these lease obligations attributable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controlling interest were </w:t>
      </w:r>
      <w:r>
        <w:rPr>
          <w:rFonts w:ascii="Times New Roman;serif" w:hAnsi="Times New Roman;serif"/>
          <w:b w:val="false"/>
          <w:i w:val="false"/>
          <w:caps w:val="false"/>
          <w:smallCaps w:val="false"/>
          <w:strike w:val="false"/>
          <w:dstrike w:val="false"/>
          <w:sz w:val="20"/>
          <w:u w:val="none"/>
          <w:effect w:val="none"/>
        </w:rPr>
        <w:t>$1.8 million</w:t>
      </w:r>
      <w:r>
        <w:rPr>
          <w:caps w:val="false"/>
          <w:smallCaps w:val="false"/>
          <w:sz w:val="24"/>
        </w:rPr>
        <w:t xml:space="preserve"> </w:t>
      </w:r>
      <w:r>
        <w:rPr>
          <w:rFonts w:ascii="Times New Roman;serif" w:hAnsi="Times New Roman;serif"/>
          <w:b w:val="false"/>
          <w:i w:val="false"/>
          <w:caps w:val="false"/>
          <w:smallCaps w:val="false"/>
          <w:sz w:val="20"/>
        </w:rPr>
        <w:t xml:space="preserve">for the remainder of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$6.8 million</w:t>
      </w:r>
      <w:r>
        <w:rPr>
          <w:caps w:val="false"/>
          <w:smallCaps w:val="false"/>
          <w:sz w:val="24"/>
        </w:rPr>
        <w:t xml:space="preserve"> </w:t>
      </w:r>
      <w:r>
        <w:rPr>
          <w:rFonts w:ascii="Times New Roman;serif" w:hAnsi="Times New Roman;serif"/>
          <w:b w:val="false"/>
          <w:i w:val="false"/>
          <w:caps w:val="false"/>
          <w:smallCaps w:val="false"/>
          <w:sz w:val="20"/>
        </w:rPr>
        <w:t xml:space="preserve">from 2027 through 2028, </w:t>
      </w:r>
      <w:r>
        <w:rPr>
          <w:rFonts w:ascii="Times New Roman;serif" w:hAnsi="Times New Roman;serif"/>
          <w:b w:val="false"/>
          <w:i w:val="false"/>
          <w:caps w:val="false"/>
          <w:smallCaps w:val="false"/>
          <w:strike w:val="false"/>
          <w:dstrike w:val="false"/>
          <w:sz w:val="20"/>
          <w:u w:val="none"/>
          <w:effect w:val="none"/>
        </w:rPr>
        <w:t>$6.5 million</w:t>
      </w:r>
      <w:r>
        <w:rPr>
          <w:caps w:val="false"/>
          <w:smallCaps w:val="false"/>
          <w:sz w:val="24"/>
        </w:rPr>
        <w:t xml:space="preserve"> </w:t>
      </w:r>
      <w:r>
        <w:rPr>
          <w:rFonts w:ascii="Times New Roman;serif" w:hAnsi="Times New Roman;serif"/>
          <w:b w:val="false"/>
          <w:i w:val="false"/>
          <w:caps w:val="false"/>
          <w:smallCaps w:val="false"/>
          <w:sz w:val="20"/>
        </w:rPr>
        <w:t xml:space="preserve">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2029 through 2030, and </w:t>
      </w:r>
      <w:r>
        <w:rPr>
          <w:rFonts w:ascii="Times New Roman;serif" w:hAnsi="Times New Roman;serif"/>
          <w:b w:val="false"/>
          <w:i w:val="false"/>
          <w:caps w:val="false"/>
          <w:smallCaps w:val="false"/>
          <w:strike w:val="false"/>
          <w:dstrike w:val="false"/>
          <w:sz w:val="20"/>
          <w:u w:val="none"/>
          <w:effect w:val="none"/>
        </w:rPr>
        <w:t>$11.0 million</w:t>
      </w:r>
      <w:r>
        <w:rPr>
          <w:caps w:val="false"/>
          <w:smallCaps w:val="false"/>
          <w:sz w:val="24"/>
        </w:rPr>
        <w:t xml:space="preserve"> </w:t>
      </w:r>
      <w:r>
        <w:rPr>
          <w:rFonts w:ascii="Times New Roman;serif" w:hAnsi="Times New Roman;serif"/>
          <w:b w:val="false"/>
          <w:i w:val="false"/>
          <w:caps w:val="false"/>
          <w:smallCaps w:val="false"/>
          <w:sz w:val="20"/>
        </w:rPr>
        <w:t>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Recent Accounting Developments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2 of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Critical Accounting Estimates and Judgments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Annual Report on Form 10</w:t>
        <w:noBreakHyphen/>
        <w:t xml:space="preserve">K includes additional information about our Critical Accounting Estimates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Judgments, and should be read in conjunction with this Quarterly Report on Form 10</w:t>
        <w:noBreakHyphen/>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3.Quantitative and Qualitative Disclosures About Market Risk</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There have been no material changes to our Quantitative and Qualitative Disclosures About Market Risk for the </w:t>
      </w:r>
      <w:r>
        <w:rPr>
          <w:rFonts w:ascii="Times New Roman;serif" w:hAnsi="Times New Roman;serif"/>
          <w:b w:val="false"/>
          <w:i w:val="false"/>
          <w:caps w:val="false"/>
          <w:smallCaps w:val="false"/>
          <w:strike w:val="false"/>
          <w:dstrike w:val="false"/>
          <w:sz w:val="20"/>
          <w:u w:val="none"/>
          <w:effect w:val="none"/>
        </w:rPr>
        <w:t>six</w:t>
      </w:r>
      <w:r>
        <w:rPr>
          <w:caps w:val="false"/>
          <w:smallCaps w:val="false"/>
          <w:sz w:val="24"/>
        </w:rPr>
        <w:t xml:space="preserve"> </w:t>
      </w:r>
      <w:r>
        <w:rPr>
          <w:rFonts w:ascii="Times New Roman;serif" w:hAnsi="Times New Roman;serif"/>
          <w:b w:val="false"/>
          <w:i w:val="false"/>
          <w:caps w:val="false"/>
          <w:smallCaps w:val="false"/>
          <w:sz w:val="20"/>
        </w:rPr>
        <w:t xml:space="preserve">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Please refer to Item 7A of our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4.Controls and Procedures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carried out an evaluation under the supervision and with the participation of our management, including our Chief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Executive Officer and Chief Financial Officer, of the effectiveness of the design and operation of 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during the quarter covered by this Quarterly Report on Form 10-Q.  Based upon that evaluation, our Chief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Executive Officer and Chief Financial Officer concluded that, as of the end of the quarter covered by this Quarterly Report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Form 10-Q, our disclosure controls and procedures are effective in ensuring that (i) the information required to be disclosed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in the reports that we file or submit under the Securities Exchange Act of 1934, as amended (the “Exchange Act”),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recorded, processed, summarized, and reported within the time periods specified in the Securities and Exchange Commission’s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rules and forms, and (ii) such information is accumulated and communicated to our management, including our principal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executive officer and principal financial officer, as appropriate, to allow timely decisions regarding required disclosure.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designing and evaluating our disclosure controls and procedures, we recognize that any controls and procedures, no matter how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well designed and operated, can provide only reasonable assurance of achieving the desired control objectives,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necessarily was required to apply its judgment in evaluating and implementing possible controls and procedures.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disclosure controls and procedures were designed to provide reasonable assurance of achieving their stated objectives,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principal executive officer and principal financial officer concluded that our disclosure controls and procedures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 at the reasonable assurance level.  We review on an ongoing basis and document 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and our internal control over financial reporting, and we may from time to time make changes in an effort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enhance their effectiveness and ensure that our systems evolve with our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change in our internal control over financial reporting (as defined in Rules 13a-15(f) and 15d-15(f) under the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 occurred during the quarter covered by this Quarterly Report on Form 10-Q that has materially affected, or is reasonably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likely to materially affect, our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Item 2.</w:t>
      </w:r>
      <w:r>
        <w:rPr>
          <w:rFonts w:ascii="Times New Roman;serif" w:hAnsi="Times New Roman;serif"/>
          <w:b/>
          <w:i w:val="false"/>
          <w:caps w:val="false"/>
          <w:smallCaps w:val="false"/>
          <w:strike w:val="false"/>
          <w:dstrike w:val="false"/>
          <w:sz w:val="20"/>
          <w:u w:val="none"/>
          <w:effect w:val="none"/>
        </w:rPr>
        <w:t>Unregistered Sales of Equity Securities and Use of Proceeds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(a)None.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(b)None.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(c)Purchases of Equity Securities by the Issuer:</w:t>
      </w:r>
    </w:p>
    <w:tbl>
      <w:tblPr>
        <w:tblW w:w="9131" w:type="dxa"/>
        <w:jc w:val="left"/>
        <w:tblInd w:w="0" w:type="dxa"/>
        <w:tblLayout w:type="fixed"/>
        <w:tblCellMar>
          <w:top w:w="28" w:type="dxa"/>
          <w:left w:w="28" w:type="dxa"/>
          <w:bottom w:w="28" w:type="dxa"/>
          <w:right w:w="28" w:type="dxa"/>
        </w:tblCellMar>
      </w:tblPr>
      <w:tblGrid>
        <w:gridCol w:w="1471"/>
        <w:gridCol w:w="109"/>
        <w:gridCol w:w="1171"/>
        <w:gridCol w:w="109"/>
        <w:gridCol w:w="1201"/>
        <w:gridCol w:w="109"/>
        <w:gridCol w:w="1621"/>
        <w:gridCol w:w="109"/>
        <w:gridCol w:w="1201"/>
        <w:gridCol w:w="109"/>
        <w:gridCol w:w="1921"/>
      </w:tblGrid>
      <w:tr>
        <w:trPr/>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Number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of Shares </w:t>
            </w:r>
          </w:p>
          <w:p>
            <w:pPr>
              <w:pStyle w:val="TableContents"/>
              <w:bidi w:val="0"/>
              <w:spacing w:lineRule="atLeast" w:line="160" w:before="0" w:after="0"/>
              <w:jc w:val="left"/>
              <w:rPr/>
            </w:pPr>
            <w:r>
              <w:rPr>
                <w:rFonts w:ascii="Times New Roman;serif" w:hAnsi="Times New Roman;serif"/>
                <w:b/>
                <w:i w:val="false"/>
                <w:caps w:val="false"/>
                <w:smallCaps w:val="false"/>
                <w:sz w:val="16"/>
              </w:rPr>
              <w:t>Purchased</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Average Price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Shares Purchased as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Part of Publicly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Announced Plans or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Programs</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Average Price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9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Maximum Number of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Shares that May Yet Be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Purchased Under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Outstanding Plans or </w:t>
            </w:r>
          </w:p>
          <w:p>
            <w:pPr>
              <w:pStyle w:val="TableContents"/>
              <w:bidi w:val="0"/>
              <w:spacing w:lineRule="atLeast" w:line="160" w:before="0" w:after="0"/>
              <w:jc w:val="left"/>
              <w:rPr/>
            </w:pPr>
            <w:r>
              <w:rPr>
                <w:rFonts w:ascii="Times New Roman;serif" w:hAnsi="Times New Roman;serif"/>
                <w:b/>
                <w:i w:val="false"/>
                <w:caps w:val="false"/>
                <w:smallCaps w:val="false"/>
                <w:sz w:val="16"/>
              </w:rPr>
              <w:t>Programs</w:t>
            </w:r>
            <w:r>
              <w:rPr>
                <w:rFonts w:ascii="Times New Roman;serif" w:hAnsi="Times New Roman;serif"/>
                <w:b/>
                <w:i w:val="false"/>
                <w:caps w:val="false"/>
                <w:smallCaps w:val="false"/>
                <w:sz w:val="10"/>
              </w:rPr>
              <w:t>(2)</w:t>
            </w:r>
          </w:p>
        </w:tc>
      </w:tr>
      <w:tr>
        <w:trPr/>
        <w:tc>
          <w:tcPr>
            <w:tcW w:w="14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April 1-30,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$286.94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$286.94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5,479,124</w:t>
            </w:r>
          </w:p>
        </w:tc>
      </w:tr>
      <w:tr>
        <w:trPr/>
        <w:tc>
          <w:tcPr>
            <w:tcW w:w="14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May 1-31,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229,645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301.32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229,268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301.38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5,249,856</w:t>
            </w:r>
          </w:p>
        </w:tc>
      </w:tr>
      <w:tr>
        <w:trPr/>
        <w:tc>
          <w:tcPr>
            <w:tcW w:w="14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1-30,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255,484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255,484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4,994,372</w:t>
            </w:r>
          </w:p>
        </w:tc>
      </w:tr>
      <w:tr>
        <w:trPr/>
        <w:tc>
          <w:tcPr>
            <w:tcW w:w="14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604,121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$313.53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603,744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2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trike w:val="false"/>
          <w:dstrike w:val="false"/>
          <w:sz w:val="20"/>
          <w:u w:val="none"/>
          <w:effect w:val="none"/>
        </w:rPr>
        <w:t>Includes shares surrendered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the Company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connection with certain stock swap and option exercise transactions, if 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Our Board of Directors authorized share repurchase programs in </w:t>
      </w:r>
      <w:r>
        <w:rPr>
          <w:rFonts w:ascii="Times New Roman;serif" w:hAnsi="Times New Roman;serif"/>
          <w:b w:val="false"/>
          <w:i w:val="false"/>
          <w:caps w:val="false"/>
          <w:smallCaps w:val="false"/>
          <w:strike w:val="false"/>
          <w:dstrike w:val="false"/>
          <w:sz w:val="20"/>
          <w:u w:val="none"/>
          <w:effect w:val="none"/>
        </w:rPr>
        <w:t>July 2024</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January 2026</w:t>
      </w:r>
      <w:r>
        <w:rPr>
          <w:caps w:val="false"/>
          <w:smallCaps w:val="false"/>
          <w:sz w:val="24"/>
        </w:rPr>
        <w:t xml:space="preserve"> </w:t>
      </w:r>
      <w:r>
        <w:rPr>
          <w:rFonts w:ascii="Times New Roman;serif" w:hAnsi="Times New Roman;serif"/>
          <w:b w:val="false"/>
          <w:i w:val="false"/>
          <w:caps w:val="false"/>
          <w:smallCaps w:val="false"/>
          <w:sz w:val="20"/>
        </w:rPr>
        <w:t xml:space="preserve">to repurchase up to </w:t>
      </w:r>
      <w:r>
        <w:rPr>
          <w:rFonts w:ascii="Times New Roman;serif" w:hAnsi="Times New Roman;serif"/>
          <w:b w:val="false"/>
          <w:i w:val="false"/>
          <w:caps w:val="false"/>
          <w:smallCaps w:val="false"/>
          <w:strike w:val="false"/>
          <w:dstrike w:val="false"/>
          <w:sz w:val="20"/>
          <w:u w:val="none"/>
          <w:effect w:val="none"/>
        </w:rPr>
        <w:t xml:space="preserve">5.4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4.2 million</w:t>
      </w:r>
      <w:r>
        <w:rPr>
          <w:caps w:val="false"/>
          <w:smallCaps w:val="false"/>
          <w:sz w:val="24"/>
        </w:rPr>
        <w:t xml:space="preserve"> </w:t>
      </w:r>
      <w:r>
        <w:rPr>
          <w:rFonts w:ascii="Times New Roman;serif" w:hAnsi="Times New Roman;serif"/>
          <w:b w:val="false"/>
          <w:i w:val="false"/>
          <w:caps w:val="false"/>
          <w:smallCaps w:val="false"/>
          <w:sz w:val="20"/>
        </w:rPr>
        <w:t xml:space="preserve">shares of our common stock, respectively, and these authorizations have no expiry.  Purchases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made from time to time, at management’s discretion, in the open market or in privately negotiated transactions,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through the use of trading plans, as well as pursuant to accelerated share repurchase programs or other share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repurchase strategies that may include derivative financial instruments.  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there were a total of </w:t>
      </w:r>
      <w:r>
        <w:rPr>
          <w:rFonts w:ascii="Times New Roman;serif" w:hAnsi="Times New Roman;serif"/>
          <w:b w:val="false"/>
          <w:i w:val="false"/>
          <w:caps w:val="false"/>
          <w:smallCaps w:val="false"/>
          <w:strike w:val="false"/>
          <w:dstrike w:val="false"/>
          <w:sz w:val="20"/>
          <w:u w:val="none"/>
          <w:effect w:val="none"/>
        </w:rPr>
        <w:t xml:space="preserve">5.0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color w:val="EE2724"/>
          <w:sz w:val="24"/>
          <w:u w:val="none"/>
          <w:effect w:val="none"/>
        </w:rPr>
        <w:t xml:space="preserve"> </w:t>
      </w:r>
      <w:r>
        <w:rPr>
          <w:rFonts w:ascii="Times New Roman;serif" w:hAnsi="Times New Roman;serif"/>
          <w:b w:val="false"/>
          <w:i w:val="false"/>
          <w:caps w:val="false"/>
          <w:smallCaps w:val="false"/>
          <w:sz w:val="20"/>
        </w:rPr>
        <w:t>shares available for repurchase under our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6.Exhibits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exhibits are listed on the Exhibit Index below.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EXHIBIT INDEX</w:t>
      </w:r>
    </w:p>
    <w:tbl>
      <w:tblPr>
        <w:tblW w:w="10205" w:type="dxa"/>
        <w:jc w:val="left"/>
        <w:tblInd w:w="0" w:type="dxa"/>
        <w:tblLayout w:type="fixed"/>
        <w:tblCellMar>
          <w:top w:w="28" w:type="dxa"/>
          <w:left w:w="28" w:type="dxa"/>
          <w:bottom w:w="28" w:type="dxa"/>
          <w:right w:w="28" w:type="dxa"/>
        </w:tblCellMar>
      </w:tblPr>
      <w:tblGrid>
        <w:gridCol w:w="938"/>
        <w:gridCol w:w="109"/>
        <w:gridCol w:w="9158"/>
      </w:tblGrid>
      <w:tr>
        <w:trPr/>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before="0" w:after="283"/>
              <w:jc w:val="left"/>
              <w:rPr>
                <w:sz w:val="4"/>
                <w:szCs w:val="4"/>
              </w:rPr>
            </w:pPr>
            <w:r>
              <w:rPr>
                <w:sz w:val="4"/>
                <w:szCs w:val="4"/>
              </w:rPr>
            </w:r>
          </w:p>
        </w:tc>
      </w:tr>
      <w:tr>
        <w:trPr/>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before="0" w:after="283"/>
              <w:jc w:val="left"/>
              <w:rPr>
                <w:sz w:val="4"/>
                <w:szCs w:val="4"/>
              </w:rPr>
            </w:pPr>
            <w:r>
              <w:rPr>
                <w:sz w:val="4"/>
                <w:szCs w:val="4"/>
              </w:rPr>
            </w:r>
          </w:p>
        </w:tc>
      </w:tr>
      <w:tr>
        <w:trPr/>
        <w:tc>
          <w:tcPr>
            <w:tcW w:w="938"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Exhibit No.</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Description</w:t>
            </w:r>
          </w:p>
        </w:tc>
      </w:tr>
      <w:tr>
        <w:trPr/>
        <w:tc>
          <w:tcPr>
            <w:tcW w:w="9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200" w:before="0" w:after="0"/>
              <w:jc w:val="left"/>
              <w:rPr/>
            </w:pPr>
            <w:hyperlink r:id="rId3">
              <w:r>
                <w:rPr>
                  <w:rStyle w:val="InternetLink"/>
                  <w:rFonts w:ascii="Times New Roman;serif" w:hAnsi="Times New Roman;serif"/>
                  <w:b w:val="false"/>
                  <w:i w:val="false"/>
                  <w:caps w:val="false"/>
                  <w:smallCaps w:val="false"/>
                  <w:color w:val="0000FF"/>
                  <w:sz w:val="20"/>
                  <w:u w:val="single"/>
                </w:rPr>
                <w:t xml:space="preserve">Fourth Amended and Restated Credit Agreement, dated as of June 9, 2026, by and among the Registrant, Bank of </w:t>
              </w:r>
            </w:hyperlink>
          </w:p>
          <w:p>
            <w:pPr>
              <w:pStyle w:val="TableContents"/>
              <w:bidi w:val="0"/>
              <w:spacing w:lineRule="atLeast" w:line="200" w:before="0" w:after="0"/>
              <w:jc w:val="left"/>
              <w:rPr/>
            </w:pPr>
            <w:hyperlink r:id="rId4">
              <w:r>
                <w:rPr>
                  <w:rStyle w:val="InternetLink"/>
                  <w:rFonts w:ascii="Times New Roman;serif" w:hAnsi="Times New Roman;serif"/>
                  <w:b w:val="false"/>
                  <w:i w:val="false"/>
                  <w:caps w:val="false"/>
                  <w:smallCaps w:val="false"/>
                  <w:color w:val="0000FF"/>
                  <w:sz w:val="20"/>
                  <w:u w:val="single"/>
                </w:rPr>
                <w:t xml:space="preserve">America, N.A., as administrative agent, letter of credit issuer and swingline lender, and the other lending </w:t>
              </w:r>
            </w:hyperlink>
          </w:p>
          <w:p>
            <w:pPr>
              <w:pStyle w:val="TableContents"/>
              <w:bidi w:val="0"/>
              <w:spacing w:lineRule="atLeast" w:line="200" w:before="0" w:after="0"/>
              <w:jc w:val="left"/>
              <w:rPr/>
            </w:pPr>
            <w:hyperlink r:id="rId5">
              <w:r>
                <w:rPr>
                  <w:rStyle w:val="InternetLink"/>
                  <w:rFonts w:ascii="Times New Roman;serif" w:hAnsi="Times New Roman;serif"/>
                  <w:b w:val="false"/>
                  <w:i w:val="false"/>
                  <w:caps w:val="false"/>
                  <w:smallCaps w:val="false"/>
                  <w:color w:val="0000FF"/>
                  <w:sz w:val="20"/>
                  <w:u w:val="single"/>
                </w:rPr>
                <w:t xml:space="preserve">institutions from time to time party thereto (incorporated by reference to the Registrant's Current Report on Form </w:t>
              </w:r>
            </w:hyperlink>
          </w:p>
          <w:p>
            <w:pPr>
              <w:pStyle w:val="TableContents"/>
              <w:bidi w:val="0"/>
              <w:spacing w:lineRule="atLeast" w:line="200" w:before="0" w:after="0"/>
              <w:jc w:val="left"/>
              <w:rPr/>
            </w:pPr>
            <w:hyperlink r:id="rId6">
              <w:r>
                <w:rPr>
                  <w:rStyle w:val="InternetLink"/>
                  <w:rFonts w:ascii="Times New Roman;serif" w:hAnsi="Times New Roman;serif"/>
                  <w:b w:val="false"/>
                  <w:i w:val="false"/>
                  <w:caps w:val="false"/>
                  <w:smallCaps w:val="false"/>
                  <w:color w:val="0000FF"/>
                  <w:sz w:val="20"/>
                  <w:u w:val="single"/>
                </w:rPr>
                <w:t>8-K (No. 001-13459), filed June 9, 2026)</w:t>
              </w:r>
            </w:hyperlink>
          </w:p>
        </w:tc>
      </w:tr>
      <w:tr>
        <w:trPr/>
        <w:tc>
          <w:tcPr>
            <w:tcW w:w="9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200" w:before="0" w:after="0"/>
              <w:jc w:val="left"/>
              <w:rPr/>
            </w:pPr>
            <w:hyperlink w:anchor="amg_06302026xexhibit311.htm">
              <w:r>
                <w:rPr>
                  <w:rStyle w:val="InternetLink"/>
                  <w:rFonts w:ascii="Times New Roman;serif" w:hAnsi="Times New Roman;serif"/>
                  <w:b w:val="false"/>
                  <w:i w:val="false"/>
                  <w:caps w:val="false"/>
                  <w:smallCaps w:val="false"/>
                  <w:color w:val="0000FF"/>
                  <w:sz w:val="20"/>
                  <w:u w:val="single"/>
                </w:rPr>
                <w:t>Certification of Registrant’s Chief Executive Officer pursuant to Section 302 of the Sarbanes-Oxley Act of 2002*</w:t>
              </w:r>
            </w:hyperlink>
          </w:p>
        </w:tc>
      </w:tr>
      <w:tr>
        <w:trPr/>
        <w:tc>
          <w:tcPr>
            <w:tcW w:w="9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200" w:before="0" w:after="0"/>
              <w:jc w:val="left"/>
              <w:rPr/>
            </w:pPr>
            <w:hyperlink w:anchor="amg_06302026xexhibit312.htm">
              <w:r>
                <w:rPr>
                  <w:rStyle w:val="InternetLink"/>
                  <w:rFonts w:ascii="Times New Roman;serif" w:hAnsi="Times New Roman;serif"/>
                  <w:b w:val="false"/>
                  <w:i w:val="false"/>
                  <w:caps w:val="false"/>
                  <w:smallCaps w:val="false"/>
                  <w:color w:val="0000FF"/>
                  <w:sz w:val="20"/>
                  <w:u w:val="single"/>
                </w:rPr>
                <w:t>Certification of Registrant’s Chief Financial Officer pursuant to Section 302 of the Sarbanes-Oxley Act of 2002*</w:t>
              </w:r>
            </w:hyperlink>
          </w:p>
        </w:tc>
      </w:tr>
      <w:tr>
        <w:trPr/>
        <w:tc>
          <w:tcPr>
            <w:tcW w:w="9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200" w:before="0" w:after="0"/>
              <w:jc w:val="left"/>
              <w:rPr/>
            </w:pPr>
            <w:hyperlink w:anchor="amg_06302026xexhibit321.htm">
              <w:r>
                <w:rPr>
                  <w:rStyle w:val="InternetLink"/>
                  <w:rFonts w:ascii="Times New Roman;serif" w:hAnsi="Times New Roman;serif"/>
                  <w:b w:val="false"/>
                  <w:i w:val="false"/>
                  <w:caps w:val="false"/>
                  <w:smallCaps w:val="false"/>
                  <w:color w:val="0000FF"/>
                  <w:sz w:val="20"/>
                  <w:u w:val="single"/>
                </w:rPr>
                <w:t xml:space="preserve">Certification of Registrant’s Chief Executive Officer pursuant to Section 906 of the Sarbanes-Oxley Act of </w:t>
              </w:r>
            </w:hyperlink>
          </w:p>
          <w:p>
            <w:pPr>
              <w:pStyle w:val="TableContents"/>
              <w:bidi w:val="0"/>
              <w:spacing w:lineRule="atLeast" w:line="200" w:before="0" w:after="0"/>
              <w:jc w:val="left"/>
              <w:rPr/>
            </w:pPr>
            <w:hyperlink w:anchor="amg_06302026xexhibit321.htm">
              <w:r>
                <w:rPr>
                  <w:rStyle w:val="InternetLink"/>
                  <w:rFonts w:ascii="Times New Roman;serif" w:hAnsi="Times New Roman;serif"/>
                  <w:b w:val="false"/>
                  <w:i w:val="false"/>
                  <w:caps w:val="false"/>
                  <w:smallCaps w:val="false"/>
                  <w:color w:val="0000FF"/>
                  <w:sz w:val="20"/>
                  <w:u w:val="single"/>
                </w:rPr>
                <w:t>2002**</w:t>
              </w:r>
            </w:hyperlink>
          </w:p>
        </w:tc>
      </w:tr>
      <w:tr>
        <w:trPr/>
        <w:tc>
          <w:tcPr>
            <w:tcW w:w="9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32.2</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200" w:before="0" w:after="0"/>
              <w:jc w:val="left"/>
              <w:rPr/>
            </w:pPr>
            <w:hyperlink w:anchor="amg_06302026xexhibit322.htm">
              <w:r>
                <w:rPr>
                  <w:rStyle w:val="InternetLink"/>
                  <w:rFonts w:ascii="Times New Roman;serif" w:hAnsi="Times New Roman;serif"/>
                  <w:b w:val="false"/>
                  <w:i w:val="false"/>
                  <w:caps w:val="false"/>
                  <w:smallCaps w:val="false"/>
                  <w:color w:val="0000FF"/>
                  <w:sz w:val="20"/>
                  <w:u w:val="single"/>
                </w:rPr>
                <w:t xml:space="preserve">Certification of Registrant’s Chief Financial Officer pursuant to Section 906 of the Sarbanes-Oxley Act of </w:t>
              </w:r>
            </w:hyperlink>
          </w:p>
          <w:p>
            <w:pPr>
              <w:pStyle w:val="TableContents"/>
              <w:bidi w:val="0"/>
              <w:spacing w:lineRule="atLeast" w:line="200" w:before="0" w:after="0"/>
              <w:jc w:val="left"/>
              <w:rPr/>
            </w:pPr>
            <w:hyperlink w:anchor="amg_06302026xexhibit322.htm">
              <w:r>
                <w:rPr>
                  <w:rStyle w:val="InternetLink"/>
                  <w:rFonts w:ascii="Times New Roman;serif" w:hAnsi="Times New Roman;serif"/>
                  <w:b w:val="false"/>
                  <w:i w:val="false"/>
                  <w:caps w:val="false"/>
                  <w:smallCaps w:val="false"/>
                  <w:color w:val="0000FF"/>
                  <w:sz w:val="20"/>
                  <w:u w:val="single"/>
                </w:rPr>
                <w:t>2002**</w:t>
              </w:r>
            </w:hyperlink>
          </w:p>
        </w:tc>
      </w:tr>
      <w:tr>
        <w:trPr/>
        <w:tc>
          <w:tcPr>
            <w:tcW w:w="9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financial statements from the Registrant’s Quarterly Report on Form 10-Q for the quarter ended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are filed herewith, formatted in XBRL (Inline eXtensible Business Reporting Language): (i) the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Statements of Income for the </w:t>
            </w:r>
            <w:r>
              <w:rPr>
                <w:rFonts w:ascii="Times New Roman;serif" w:hAnsi="Times New Roman;serif"/>
                <w:b w:val="false"/>
                <w:i w:val="false"/>
                <w:caps w:val="false"/>
                <w:smallCaps w:val="false"/>
                <w:strike w:val="false"/>
                <w:dstrike w:val="false"/>
                <w:sz w:val="20"/>
                <w:u w:val="none"/>
                <w:effect w:val="none"/>
              </w:rPr>
              <w:t>six</w:t>
            </w:r>
            <w:r>
              <w:rPr>
                <w:rFonts w:ascii="Times New Roman;serif" w:hAnsi="Times New Roman;serif"/>
                <w:b w:val="false"/>
                <w:i w:val="false"/>
                <w:caps w:val="false"/>
                <w:smallCaps w:val="false"/>
                <w:sz w:val="20"/>
              </w:rPr>
              <w:t xml:space="preserve">-month periods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(ii) the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Statements of Comprehensive Income for the </w:t>
            </w:r>
            <w:r>
              <w:rPr>
                <w:rFonts w:ascii="Times New Roman;serif" w:hAnsi="Times New Roman;serif"/>
                <w:b w:val="false"/>
                <w:i w:val="false"/>
                <w:caps w:val="false"/>
                <w:smallCaps w:val="false"/>
                <w:strike w:val="false"/>
                <w:dstrike w:val="false"/>
                <w:sz w:val="20"/>
                <w:u w:val="none"/>
                <w:effect w:val="none"/>
              </w:rPr>
              <w:t>six</w:t>
            </w:r>
            <w:r>
              <w:rPr>
                <w:rFonts w:ascii="Times New Roman;serif" w:hAnsi="Times New Roman;serif"/>
                <w:b w:val="false"/>
                <w:i w:val="false"/>
                <w:caps w:val="false"/>
                <w:smallCaps w:val="false"/>
                <w:sz w:val="20"/>
              </w:rPr>
              <w:t xml:space="preserve">-month periods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(iii) the Consolidated Balance Sheets at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(iv) the Consolidated Statements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of Changes in Equity for the </w:t>
            </w:r>
            <w:r>
              <w:rPr>
                <w:rFonts w:ascii="Times New Roman;serif" w:hAnsi="Times New Roman;serif"/>
                <w:b w:val="false"/>
                <w:i w:val="false"/>
                <w:caps w:val="false"/>
                <w:smallCaps w:val="false"/>
                <w:strike w:val="false"/>
                <w:dstrike w:val="false"/>
                <w:sz w:val="20"/>
                <w:u w:val="none"/>
                <w:effect w:val="none"/>
              </w:rPr>
              <w:t>six</w:t>
            </w:r>
            <w:r>
              <w:rPr>
                <w:rFonts w:ascii="Times New Roman;serif" w:hAnsi="Times New Roman;serif"/>
                <w:b w:val="false"/>
                <w:i w:val="false"/>
                <w:caps w:val="false"/>
                <w:smallCaps w:val="false"/>
                <w:sz w:val="20"/>
              </w:rPr>
              <w:t xml:space="preserve">-month periods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(v) the Consolidated Statements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of Cash Flows for the </w:t>
            </w:r>
            <w:r>
              <w:rPr>
                <w:rFonts w:ascii="Times New Roman;serif" w:hAnsi="Times New Roman;serif"/>
                <w:b w:val="false"/>
                <w:i w:val="false"/>
                <w:caps w:val="false"/>
                <w:smallCaps w:val="false"/>
                <w:strike w:val="false"/>
                <w:dstrike w:val="false"/>
                <w:sz w:val="20"/>
                <w:u w:val="none"/>
                <w:effect w:val="none"/>
              </w:rPr>
              <w:t>six</w:t>
            </w:r>
            <w:r>
              <w:rPr>
                <w:rFonts w:ascii="Times New Roman;serif" w:hAnsi="Times New Roman;serif"/>
                <w:b w:val="false"/>
                <w:i w:val="false"/>
                <w:caps w:val="false"/>
                <w:smallCaps w:val="false"/>
                <w:sz w:val="20"/>
              </w:rPr>
              <w:t xml:space="preserve">-month periods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and (vi) the Notes to the Consolidated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Statements</w:t>
            </w:r>
          </w:p>
        </w:tc>
      </w:tr>
      <w:tr>
        <w:trPr/>
        <w:tc>
          <w:tcPr>
            <w:tcW w:w="938"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09"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The cover page from the Registrant’s Quarterly Report on Form 10-Q for the quarter 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formatted in XBRL (Inline eXtensible Business Reporting Language) and contained in Exhibit 101</w:t>
            </w:r>
          </w:p>
        </w:tc>
      </w:tr>
    </w:tbl>
    <w:p>
      <w:pPr>
        <w:pStyle w:val="TextBody"/>
        <w:bidi w:val="0"/>
        <w:spacing w:lineRule="atLeast" w:line="200" w:before="0" w:after="0"/>
        <w:jc w:val="left"/>
        <w:rPr>
          <w:caps w:val="false"/>
          <w:smallCaps w:val="false"/>
          <w:u w:val="single"/>
        </w:rPr>
      </w:pPr>
      <w:r>
        <w:rPr>
          <w:caps w:val="false"/>
          <w:smallCaps w:val="false"/>
          <w:u w:val="singl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*Filed herewith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**Furnished herewith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TextBody"/>
        <w:bidi w:val="0"/>
        <w:spacing w:lineRule="atLeast" w:line="200" w:before="0" w:after="0"/>
        <w:jc w:val="left"/>
        <w:rPr/>
      </w:pPr>
      <w:hyperlink w:anchor="i0d415e0c8fe341d6963f39ad673f7ea6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signed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its behalf by the undersigned, thereunto duly authorized. </w:t>
      </w:r>
    </w:p>
    <w:tbl>
      <w:tblPr>
        <w:tblW w:w="6407" w:type="dxa"/>
        <w:jc w:val="left"/>
        <w:tblInd w:w="0" w:type="dxa"/>
        <w:tblLayout w:type="fixed"/>
        <w:tblCellMar>
          <w:top w:w="28" w:type="dxa"/>
          <w:left w:w="28" w:type="dxa"/>
          <w:bottom w:w="28" w:type="dxa"/>
          <w:right w:w="28" w:type="dxa"/>
        </w:tblCellMar>
      </w:tblPr>
      <w:tblGrid>
        <w:gridCol w:w="1366"/>
        <w:gridCol w:w="5041"/>
      </w:tblGrid>
      <w:tr>
        <w:trPr/>
        <w:tc>
          <w:tcPr>
            <w:tcW w:w="1366"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50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AFFILIATED MANAGERS GROUP, INC.</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(Registrant)</w:t>
            </w:r>
          </w:p>
        </w:tc>
      </w:tr>
      <w:tr>
        <w:trPr/>
        <w:tc>
          <w:tcPr>
            <w:tcW w:w="13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7, 2026</w:t>
            </w:r>
          </w:p>
        </w:tc>
        <w:tc>
          <w:tcPr>
            <w:tcW w:w="50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DAVA E. RITCHEA</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504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Dava E. Ritchea</w:t>
            </w:r>
          </w:p>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on behalf of the Registrant as Chief Financial Officer </w:t>
            </w:r>
          </w:p>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(and also as Principal Financial and Principal Accounting </w:t>
            </w:r>
          </w:p>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b3b14bfb49f4b6b86465336ac449da6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 Jay C. Horgen, certify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Affiliated Managers Group,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39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C. Horgen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QuickLinks</w:t>
      </w:r>
    </w:p>
    <w:p>
      <w:pPr>
        <w:pStyle w:val="TextBody"/>
        <w:bidi w:val="0"/>
        <w:spacing w:lineRule="auto" w:line="288" w:before="0" w:after="0"/>
        <w:ind w:left="0" w:right="0" w:firstLine="405"/>
        <w:jc w:val="left"/>
        <w:rPr/>
      </w:pPr>
      <w:hyperlink w:anchor="ibb3b14bfb49f4b6b86465336ac449da6_1">
        <w:r>
          <w:rPr>
            <w:rStyle w:val="InternetLink"/>
            <w:rFonts w:ascii="Times New Roman;serif" w:hAnsi="Times New Roman;serif"/>
            <w:b w:val="false"/>
            <w:color w:val="0000FF"/>
            <w:sz w:val="20"/>
            <w:u w:val="single"/>
          </w:rPr>
          <w:t>Exhibit 31.1</w:t>
        </w:r>
      </w:hyperlink>
    </w:p>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206de42ff88438683b22b09ec275b76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 Dava E. Ritchea, certify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Affiliated Managers Group,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2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DAVA E. RITCHEA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Dava E. Ritchea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QuickLinks</w:t>
      </w:r>
    </w:p>
    <w:p>
      <w:pPr>
        <w:pStyle w:val="TextBody"/>
        <w:bidi w:val="0"/>
        <w:spacing w:lineRule="auto" w:line="288"/>
        <w:ind w:left="0" w:right="0" w:firstLine="405"/>
        <w:jc w:val="left"/>
        <w:rPr/>
      </w:pPr>
      <w:hyperlink w:anchor="ia206de42ff88438683b22b09ec275b76_1">
        <w:r>
          <w:rPr>
            <w:rStyle w:val="InternetLink"/>
            <w:rFonts w:ascii="Times New Roman;serif" w:hAnsi="Times New Roman;serif"/>
            <w:b w:val="false"/>
            <w:color w:val="0000FF"/>
            <w:sz w:val="20"/>
            <w:u w:val="single"/>
          </w:rPr>
          <w:t>Exhibit 31.2</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d046692f1514c00880fd04de4913ae9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Affiliated Managers Group, Inc. (the "Company") for the period ended June 30, 2026, as filed with the Securities and Exchange Commission on the date hereof (the "Report"), the undersigned, Jay C. Horgen, President and Chief Executive Officer of the Company, hereby certifies, pursuant to 18 U.S.C. Section 1350, that to his knowledge: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39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48"/>
        <w:gridCol w:w="948"/>
        <w:gridCol w:w="13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C. Horgen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4"/>
        </w:rPr>
      </w:pPr>
      <w:r>
        <w:rPr>
          <w:rFonts w:ascii="Times New Roman;serif" w:hAnsi="Times New Roman;serif"/>
          <w:b w:val="false"/>
          <w:color w:val="000000"/>
          <w:sz w:val="24"/>
        </w:rPr>
        <w:t>QuickLinks</w:t>
      </w:r>
    </w:p>
    <w:p>
      <w:pPr>
        <w:pStyle w:val="TextBody"/>
        <w:bidi w:val="0"/>
        <w:spacing w:before="0" w:after="0"/>
        <w:jc w:val="left"/>
        <w:rPr/>
      </w:pPr>
      <w:r>
        <w:rPr/>
      </w:r>
    </w:p>
    <w:p>
      <w:pPr>
        <w:pStyle w:val="TextBody"/>
        <w:bidi w:val="0"/>
        <w:spacing w:lineRule="auto" w:line="288"/>
        <w:ind w:left="0" w:right="0" w:firstLine="405"/>
        <w:jc w:val="left"/>
        <w:rPr/>
      </w:pPr>
      <w:hyperlink w:anchor="i5d046692f1514c00880fd04de4913ae9_1">
        <w:r>
          <w:rPr>
            <w:rStyle w:val="InternetLink"/>
            <w:rFonts w:ascii="Times New Roman;serif" w:hAnsi="Times New Roman;serif"/>
            <w:b w:val="false"/>
            <w:color w:val="0000FF"/>
            <w:sz w:val="20"/>
            <w:u w:val="single"/>
          </w:rPr>
          <w:t>Exhibit 32.1</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3e0ea284b79496c946cb76e1c212172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Affiliated Managers Group, Inc. (the "Company") for the period ended June 30, 2026, as filed with the Securities and Exchange Commission on the date hereof (the "Report"), the undersigned, Dava E. Ritchea, Chief Financial Officer of the Company, hereby certifies, pursuant to 18 U.S.C. Section 1350, that to her knowledge: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2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DAVA E. RITCHEA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Dava E. Ritchea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4"/>
        </w:rPr>
      </w:pPr>
      <w:r>
        <w:rPr>
          <w:rFonts w:ascii="Times New Roman;serif" w:hAnsi="Times New Roman;serif"/>
          <w:b w:val="false"/>
          <w:color w:val="000000"/>
          <w:sz w:val="24"/>
        </w:rPr>
        <w:t>QuickLinks</w:t>
      </w:r>
    </w:p>
    <w:p>
      <w:pPr>
        <w:pStyle w:val="TextBody"/>
        <w:bidi w:val="0"/>
        <w:spacing w:before="0" w:after="0"/>
        <w:jc w:val="left"/>
        <w:rPr/>
      </w:pPr>
      <w:r>
        <w:rPr/>
      </w:r>
    </w:p>
    <w:p>
      <w:pPr>
        <w:pStyle w:val="TextBody"/>
        <w:bidi w:val="0"/>
        <w:spacing w:lineRule="auto" w:line="288"/>
        <w:ind w:left="0" w:right="0" w:firstLine="405"/>
        <w:jc w:val="left"/>
        <w:rPr/>
      </w:pPr>
      <w:hyperlink w:anchor="i43e0ea284b79496c946cb76e1c212172_1">
        <w:r>
          <w:rPr>
            <w:rStyle w:val="InternetLink"/>
            <w:rFonts w:ascii="Times New Roman;serif" w:hAnsi="Times New Roman;serif"/>
            <w:b w:val="false"/>
            <w:color w:val="0000FF"/>
            <w:sz w:val="20"/>
            <w:u w:val="single"/>
          </w:rPr>
          <w:t>Exhibit 32.2</w:t>
        </w:r>
      </w:hyperlink>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004434/000119312526263845/d155271dex101.htm" TargetMode="External"/><Relationship Id="rId4" Type="http://schemas.openxmlformats.org/officeDocument/2006/relationships/hyperlink" Target="https://www.sec.gov/Archives/edgar/data/1004434/000119312526263845/d155271dex101.htm" TargetMode="External"/><Relationship Id="rId5" Type="http://schemas.openxmlformats.org/officeDocument/2006/relationships/hyperlink" Target="https://www.sec.gov/Archives/edgar/data/1004434/000119312526263845/d155271dex101.htm" TargetMode="External"/><Relationship Id="rId6" Type="http://schemas.openxmlformats.org/officeDocument/2006/relationships/hyperlink" Target="https://www.sec.gov/Archives/edgar/data/1004434/000119312526263845/d155271d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23544</Words>
  <Characters>135387</Characters>
  <CharactersWithSpaces>156519</CharactersWithSpaces>
  <Paragraphs>4439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