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2"/>
          <w:szCs w:val="42"/>
          <w:b w:val="1"/>
          <w:bCs w:val="1"/>
          <w:color w:val="auto"/>
        </w:rPr>
        <w:t>AFFILIATED MANAGERS GROUP, INC.</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ectPr>
          <w:pgSz w:w="11900" w:h="16838" w:orient="portrait"/>
          <w:cols w:equalWidth="0" w:num="1">
            <w:col w:w="11020"/>
          </w:cols>
          <w:pgMar w:left="440" w:top="376" w:right="439" w:bottom="1027" w:gutter="0" w:footer="0" w:header="0"/>
        </w:sectPr>
      </w:pPr>
    </w:p>
    <w:p>
      <w:pPr>
        <w:spacing w:after="0" w:line="215"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001-13459</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04-3218510</w:t>
      </w:r>
    </w:p>
    <w:p>
      <w:pPr>
        <w:spacing w:after="0" w:line="12" w:lineRule="exact"/>
        <w:rPr>
          <w:sz w:val="24"/>
          <w:szCs w:val="24"/>
          <w:color w:val="auto"/>
        </w:rPr>
      </w:pPr>
    </w:p>
    <w:p>
      <w:pPr>
        <w:sectPr>
          <w:pgSz w:w="11900" w:h="16838" w:orient="portrait"/>
          <w:cols w:equalWidth="0" w:num="2">
            <w:col w:w="7180" w:space="720"/>
            <w:col w:w="3120"/>
          </w:cols>
          <w:pgMar w:left="440" w:top="376" w:right="439" w:bottom="1027" w:gutter="0" w:footer="0" w:header="0"/>
          <w:type w:val="continuous"/>
        </w:sectPr>
      </w:pPr>
    </w:p>
    <w:p>
      <w:pPr>
        <w:ind w:left="2380"/>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36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376" w:right="439" w:bottom="1027"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South Flagler Drive, West Palm Beach, Florida 33401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345-1100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AMG</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5.875% Junior Subordinated Notes due 2059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MGR</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4.750% Junior Subordinated Notes due 2060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MGRB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4.200% Junior Subordinated Notes due 2061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MGRD</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6.750% Junior Subordinated Notes due 2064</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MGRE</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027" w:gutter="0" w:footer="0" w:header="0"/>
          <w:type w:val="continuous"/>
        </w:sectPr>
      </w:pPr>
    </w:p>
    <w:bookmarkStart w:id="1" w:name="page2"/>
    <w:bookmarkEnd w:id="1"/>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February 12, 2026, Affiliated Managers Group, Inc. (the “Company”) announced that Thomas M. Wojcik will be stepping down as the Company’s President and Chief Operating Officer, effective on March 6, 2026 (the “Departure Date”). Upon Mr. Wojcik’s departure, his responsibilities will be allocated to other members of the senior leadership team.</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Mr. Wojcik’s departure, subject to his execution and re-execution of a separation and release agreement that includes provisions addressing non-competition, non-solicitation, confidentiality, and related matters, and in connection with retaining Mr. Wojcik’s services through the Departure Date, Mr. Wojcik will receive cash payments in the aggregate amount of $5,025,000 in 2026. In addition, subject to Mr. Wojcik’s satisfactory fulfillment of ongoing obligations to the Company through early 2027, including with respect to his engagement in competitive activity, Mr. Wojcik will receive a cash payment of $11,050,000, to be paid in the first quarter of 2027. Mr. Wojcik will not otherwise receive any long-term or short-term incentive compensation for performance years 2025 or 2026, and all of his then-outstanding unvested equity awards will be cancelled and terminated on the Departure Date.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AFFILIATED MANAGERS GROUP,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   Date: February 12, 2026</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Kavita Padiyar</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Kavita Padiyar</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364"/>
        </w:trPr>
        <w:tc>
          <w:tcPr>
            <w:tcW w:w="3700" w:type="dxa"/>
            <w:vAlign w:val="bottom"/>
          </w:tcPr>
          <w:p>
            <w:pPr>
              <w:spacing w:after="0"/>
              <w:rPr>
                <w:sz w:val="24"/>
                <w:szCs w:val="24"/>
                <w:color w:val="auto"/>
              </w:rPr>
            </w:pPr>
          </w:p>
        </w:tc>
        <w:tc>
          <w:tcPr>
            <w:tcW w:w="24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w:t>
            </w:r>
          </w:p>
        </w:tc>
        <w:tc>
          <w:tcPr>
            <w:tcW w:w="4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2026-02-12T05:44:07Z</dcterms:created>
  <dcterms:modified xsi:type="dcterms:W3CDTF">2026-02-12T05:44:07Z</dcterms:modified>
</cp:coreProperties>
</file>