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97758d8k.htm"/>
      <w:bookmarkStart w:id="1" w:name="ksd79775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 March 14,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8"/>
        </w:rPr>
      </w:pPr>
      <w:r>
        <w:rPr>
          <w:rFonts w:ascii="Times New Roman" w:hAnsi="Times New Roman"/>
          <w:b/>
          <w:sz w:val="48"/>
        </w:rPr>
        <w:t>AFFILIATED MANAGERS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1070"/>
        <w:gridCol w:w="60"/>
        <w:gridCol w:w="2810"/>
        <w:gridCol w:w="60"/>
        <w:gridCol w:w="188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sz w:val="4"/>
                <w:szCs w:val="4"/>
              </w:rPr>
            </w:pPr>
            <w:r>
              <w:rPr>
                <w:sz w:val="4"/>
                <w:szCs w:val="4"/>
              </w:rPr>
            </w:r>
          </w:p>
        </w:tc>
        <w:tc>
          <w:tcPr>
            <w:tcW w:w="2870"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center"/>
              <w:rPr>
                <w:b/>
              </w:rPr>
            </w:pPr>
            <w:r>
              <w:rPr>
                <w:b/>
              </w:rPr>
              <w:t>001-13459</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04-3218510</w:t>
            </w:r>
          </w:p>
        </w:tc>
      </w:tr>
      <w:tr>
        <w:trPr/>
        <w:tc>
          <w:tcPr>
            <w:tcW w:w="1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20" w:after="0"/>
        <w:jc w:val="center"/>
        <w:rPr>
          <w:rFonts w:ascii="Times New Roman" w:hAnsi="Times New Roman"/>
          <w:b/>
          <w:sz w:val="20"/>
        </w:rPr>
      </w:pPr>
      <w:r>
        <w:rPr>
          <w:rFonts w:ascii="Times New Roman" w:hAnsi="Times New Roman"/>
          <w:b/>
          <w:sz w:val="20"/>
        </w:rPr>
        <w:t>777 South Flagler Drive, West Palm Beach, Florida 33401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120" w:after="0"/>
        <w:jc w:val="center"/>
        <w:rPr>
          <w:rFonts w:ascii="Times New Roman" w:hAnsi="Times New Roman"/>
          <w:b/>
          <w:sz w:val="20"/>
        </w:rPr>
      </w:pPr>
      <w:r>
        <w:rPr>
          <w:rFonts w:ascii="Times New Roman" w:hAnsi="Times New Roman"/>
          <w:b/>
          <w:sz w:val="20"/>
        </w:rPr>
        <w:t>(800) 345-1100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2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295"/>
        <w:gridCol w:w="60"/>
        <w:gridCol w:w="755"/>
        <w:gridCol w:w="60"/>
        <w:gridCol w:w="2660"/>
      </w:tblGrid>
      <w:tr>
        <w:trPr/>
        <w:tc>
          <w:tcPr>
            <w:tcW w:w="4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2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AMG</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295" w:type="dxa"/>
            <w:tcBorders/>
            <w:vAlign w:val="center"/>
          </w:tcPr>
          <w:p>
            <w:pPr>
              <w:pStyle w:val="TableContents"/>
              <w:bidi w:val="0"/>
              <w:spacing w:before="0" w:after="283"/>
              <w:jc w:val="center"/>
              <w:rPr/>
            </w:pPr>
            <w:r>
              <w:rPr/>
              <w:t>5.875% Junior Subordinated Notes due 2059</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MGR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295" w:type="dxa"/>
            <w:tcBorders/>
            <w:vAlign w:val="center"/>
          </w:tcPr>
          <w:p>
            <w:pPr>
              <w:pStyle w:val="TableContents"/>
              <w:bidi w:val="0"/>
              <w:spacing w:before="0" w:after="283"/>
              <w:jc w:val="center"/>
              <w:rPr/>
            </w:pPr>
            <w:r>
              <w:rPr/>
              <w:t>4.750% Junior Subordinated Notes due 2060</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MGRB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295" w:type="dxa"/>
            <w:tcBorders/>
            <w:vAlign w:val="center"/>
          </w:tcPr>
          <w:p>
            <w:pPr>
              <w:pStyle w:val="TableContents"/>
              <w:bidi w:val="0"/>
              <w:spacing w:before="0" w:after="283"/>
              <w:jc w:val="center"/>
              <w:rPr/>
            </w:pPr>
            <w:r>
              <w:rPr/>
              <w:t>4.200% Junior Subordinated Notes due 2061</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MGRD</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930" w:type="dxa"/>
        <w:jc w:val="left"/>
        <w:tblInd w:w="0" w:type="dxa"/>
        <w:tblLayout w:type="fixed"/>
        <w:tblCellMar>
          <w:top w:w="0" w:type="dxa"/>
          <w:left w:w="0" w:type="dxa"/>
          <w:bottom w:w="0" w:type="dxa"/>
          <w:right w:w="0" w:type="dxa"/>
        </w:tblCellMar>
      </w:tblPr>
      <w:tblGrid>
        <w:gridCol w:w="1145"/>
        <w:gridCol w:w="3785"/>
      </w:tblGrid>
      <w:tr>
        <w:trPr/>
        <w:tc>
          <w:tcPr>
            <w:tcW w:w="114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20, 2024, Affiliated Managers Group, Inc. (the “Company”) completed the issuance and sale of $450,000,000 aggregate principal amount of the Company’s 6.750% Junior Subordinated Notes due 2064 (the “Initial Securities”), including $50,000,000 aggregate principal amount of the Company’s 6.750% Junior Subordinated Notes due 2064, pursuant to the underwriters’ option to purchase additional notes to cover over-allotments (together with the Initial Securities,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were issued pursuant to a junior subordinated notes indenture, dated as of March 27, 2019 (the “Base Indenture”), as supplemented by the fourth supplemental indenture thereto, dated as of March 20, 2024 (the “Fourth Supplemental Indenture” and, together with the Base Indenture, the “Indenture”), between the Company and U.S. Bank National Association and U.S. Bank Trust Company, National Association, respectively, in each case as trustee. The Securities have been registered under the Securities Act of 1933, as amended, by a shelf registration statement on Form S-3ASR (Registration No. 333-263148) which became effective March 1, 2022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14, 2024, the Company also entered into an underwriting agreement (the “Underwriting Agreement”) with BofA Securities, Inc., Morgan Stanley &amp; Co. LLC, RBC Capital Markets, LLC, and Wells Fargo Securities, LLC, as representatives of the underwriters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Securities are described in the Company’s prospectus dated March 1, 2022, as supplemented by the final prospectus supplement dated March 14, 2024, as filed with the Securities and Exchange Commission on March 15, 2024 (the “Prospectus Supplement”); the prospectus as so supplemented forms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which are unsecured junior subordinated obligations of the Company, will mature on March 30, 2064, and will bear interest at a rate of 6.750% per year, with interest payable on March 30, June 30, September 30, and December 30 of each year, beginning on June 30, 2024, subject to the Company’s right to defer interest payments as described in the Prospectus Supplement. The Company may redeem the Securities at any time, in whole or in part, on one or more occasions, on or after March 30, 2029 at a redemption price that is equal to their principal amount plus accrued and unpaid interest. The Company may redeem the Securities in whole, but not in part, at any time prior to March 30, 2029, following certain tax and rating agency events at certain specified redemption prices as described in the Prospectus Supplement. The Company intends to use the net proceeds from the issuance and sale of the Securities for general corporate purposes, which may include the repayment or refinancing of indebtedness, share repurchases, and investments in new and existing investment management firms. See “Use of Proceeds” in the Prospectus Supplement. </w:t>
      </w:r>
    </w:p>
    <w:p>
      <w:pPr>
        <w:pStyle w:val="TextBody"/>
        <w:bidi w:val="0"/>
        <w:spacing w:before="240" w:after="0"/>
        <w:jc w:val="left"/>
        <w:rPr>
          <w:rFonts w:ascii="Times New Roman" w:hAnsi="Times New Roman"/>
          <w:sz w:val="20"/>
        </w:rPr>
      </w:pPr>
      <w:r>
        <w:rPr>
          <w:rFonts w:ascii="Times New Roman" w:hAnsi="Times New Roman"/>
          <w:sz w:val="20"/>
        </w:rPr>
        <w:t>A copy of the Base Indenture is incorporated by reference as Exhibit 4.1 to this Current Report on Form 8-K, and copies of the Underwriting Agreement, the Fourth Supplemental Indenture, the form of 6.750% Junior Subordinated Note due 2064, and the opinion of Skadden, Arps, Slate, Meagher &amp; Flom LLP are attached hereto as Exhibits 1.1, 4.2, 4.3, and 5.1, respectively, and are incorporated herein by reference. The foregoing descriptions of the Underwriting Agreement, the Indenture, and the Securities are summaries only and are qualified in their entirety by the complete text of such documents attached to this Current Report on Form 8-K.</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06"/>
        <w:gridCol w:w="9099"/>
      </w:tblGrid>
      <w:tr>
        <w:trPr/>
        <w:tc>
          <w:tcPr>
            <w:tcW w:w="1106" w:type="dxa"/>
            <w:tcBorders/>
            <w:vAlign w:val="center"/>
          </w:tcPr>
          <w:p>
            <w:pPr>
              <w:pStyle w:val="TableContents"/>
              <w:bidi w:val="0"/>
              <w:spacing w:before="0" w:after="283"/>
              <w:jc w:val="left"/>
              <w:rPr>
                <w:b/>
              </w:rPr>
            </w:pPr>
            <w:r>
              <w:rPr>
                <w:b/>
              </w:rPr>
              <w:t>ITEM 2.03</w:t>
            </w:r>
          </w:p>
        </w:tc>
        <w:tc>
          <w:tcPr>
            <w:tcW w:w="909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in Item 1.01 of this Current Report on Form 8-K is incorporated herein by reference.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145"/>
        <w:gridCol w:w="3005"/>
      </w:tblGrid>
      <w:tr>
        <w:trPr/>
        <w:tc>
          <w:tcPr>
            <w:tcW w:w="114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797758dex11.htm">
              <w:r>
                <w:rPr>
                  <w:rStyle w:val="InternetLink"/>
                </w:rPr>
                <w:t xml:space="preserve">Underwriting Agreement, dated as of March 14, 2024, among Affiliated Managers Group, Inc. and BofA Securities, Inc., Morgan Stanley &amp; Co. LLC, RBC Capital Markets, LLC, and Wells Fargo Securities, LLC, as representatives of the underwriters named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
              <w:r>
                <w:rPr>
                  <w:rStyle w:val="InternetLink"/>
                </w:rPr>
                <w:t xml:space="preserve">Indenture for Junior Subordinated Notes, dated as of March 27, 2019, between Affiliated Managers Group, Inc., as issuer, and U.S. Bank National Association, as trustee (incorporated by reference to Exhibit 4.1 to Affiliated Managers Group, Inc.’s Current Report on Form 8-K filed on March 27, 2019).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797758dex42.htm">
              <w:r>
                <w:rPr>
                  <w:rStyle w:val="InternetLink"/>
                </w:rPr>
                <w:t xml:space="preserve">Fourth Supplemental Indenture, dated as of March 20, 2024, between Affiliated Managers Group, Inc., as issuer, and U.S. Bank Trust Company, National Association, as trustee.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797758dex42.htm">
              <w:r>
                <w:rPr>
                  <w:rStyle w:val="InternetLink"/>
                </w:rPr>
                <w:t xml:space="preserve">Form of 6.750% Junior Subordinated Note due 2064 (included in Exhibit 4.2).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797758dex51.htm">
              <w:r>
                <w:rPr>
                  <w:rStyle w:val="InternetLink"/>
                </w:rPr>
                <w:t xml:space="preserve">Opinion of Skadden, Arps, Slate, Meagher &amp; Flom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797758dex51.htm">
              <w:r>
                <w:rPr>
                  <w:rStyle w:val="InternetLink"/>
                </w:rPr>
                <w:t xml:space="preserve">Consent of Skadden, Arps, Slate, Meagher &amp; Flom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00" w:type="dxa"/>
        <w:jc w:val="left"/>
        <w:tblInd w:w="0" w:type="dxa"/>
        <w:tblLayout w:type="fixed"/>
        <w:tblCellMar>
          <w:top w:w="0" w:type="dxa"/>
          <w:left w:w="0" w:type="dxa"/>
          <w:bottom w:w="0" w:type="dxa"/>
          <w:right w:w="0" w:type="dxa"/>
        </w:tblCellMar>
      </w:tblPr>
      <w:tblGrid>
        <w:gridCol w:w="2120"/>
        <w:gridCol w:w="60"/>
        <w:gridCol w:w="60"/>
        <w:gridCol w:w="60"/>
        <w:gridCol w:w="650"/>
        <w:gridCol w:w="60"/>
        <w:gridCol w:w="479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9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AFFILIATED MANAGERS GROUP, INC.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8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20,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Kavita Padiyar</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Kavita Padiyar</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Managing Director, Chief Corporate Counsel, and</w:t>
              <w:br/>
              <w:t>Corporate Secretary</w:t>
            </w:r>
          </w:p>
        </w:tc>
      </w:tr>
    </w:tbl>
    <w:p>
      <w:pPr>
        <w:pStyle w:val="TextBody"/>
        <w:bidi w:val="0"/>
        <w:spacing w:before="0" w:after="0"/>
        <w:jc w:val="right"/>
        <w:rPr>
          <w:rFonts w:ascii="Times New Roman" w:hAnsi="Times New Roman"/>
          <w:b/>
          <w:sz w:val="20"/>
        </w:rPr>
      </w:pPr>
      <w:bookmarkStart w:id="2" w:name="d797758dex11.htm"/>
      <w:bookmarkStart w:id="3" w:name="ksd797758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AFFILIATED MANAGERS GROUP, INC. </w:t>
      </w:r>
    </w:p>
    <w:p>
      <w:pPr>
        <w:pStyle w:val="TextBody"/>
        <w:bidi w:val="0"/>
        <w:spacing w:before="240" w:after="0"/>
        <w:jc w:val="center"/>
        <w:rPr>
          <w:rFonts w:ascii="Times New Roman" w:hAnsi="Times New Roman"/>
          <w:b/>
          <w:sz w:val="20"/>
        </w:rPr>
      </w:pPr>
      <w:r>
        <w:rPr>
          <w:rFonts w:ascii="Times New Roman" w:hAnsi="Times New Roman"/>
          <w:b/>
          <w:sz w:val="20"/>
        </w:rPr>
        <w:t xml:space="preserve">$400,000,000 </w:t>
      </w:r>
    </w:p>
    <w:p>
      <w:pPr>
        <w:pStyle w:val="TextBody"/>
        <w:bidi w:val="0"/>
        <w:spacing w:before="240" w:after="0"/>
        <w:jc w:val="center"/>
        <w:rPr>
          <w:rFonts w:ascii="Times New Roman" w:hAnsi="Times New Roman"/>
          <w:b/>
          <w:sz w:val="20"/>
        </w:rPr>
      </w:pPr>
      <w:r>
        <w:rPr>
          <w:rFonts w:ascii="Times New Roman" w:hAnsi="Times New Roman"/>
          <w:b/>
          <w:sz w:val="20"/>
        </w:rPr>
        <w:t xml:space="preserve">6.750% JUNIOR SUBORDINATED NOTES DUE 2064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MARCH 14,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March 14, 2024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listed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c/o 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Brookfield Place </w:t>
      </w:r>
    </w:p>
    <w:p>
      <w:pPr>
        <w:pStyle w:val="TextBody"/>
        <w:bidi w:val="0"/>
        <w:spacing w:before="0" w:after="0"/>
        <w:jc w:val="left"/>
        <w:rPr>
          <w:rFonts w:ascii="Times New Roman" w:hAnsi="Times New Roman"/>
          <w:sz w:val="20"/>
        </w:rPr>
      </w:pPr>
      <w:r>
        <w:rPr>
          <w:rFonts w:ascii="Times New Roman" w:hAnsi="Times New Roman"/>
          <w:sz w:val="20"/>
        </w:rPr>
        <w:t xml:space="preserve">200 Vesey Street,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10281 </w:t>
      </w:r>
    </w:p>
    <w:p>
      <w:pPr>
        <w:pStyle w:val="TextBody"/>
        <w:bidi w:val="0"/>
        <w:spacing w:before="240" w:after="0"/>
        <w:jc w:val="left"/>
        <w:rPr>
          <w:rFonts w:ascii="Times New Roman" w:hAnsi="Times New Roman"/>
          <w:sz w:val="20"/>
        </w:rPr>
      </w:pPr>
      <w:r>
        <w:rPr>
          <w:rFonts w:ascii="Times New Roman" w:hAnsi="Times New Roman"/>
          <w:sz w:val="20"/>
        </w:rPr>
        <w:t xml:space="preserve">c/o Wells Fargo Securities, LLC </w:t>
      </w:r>
    </w:p>
    <w:p>
      <w:pPr>
        <w:pStyle w:val="TextBody"/>
        <w:bidi w:val="0"/>
        <w:spacing w:before="0" w:after="0"/>
        <w:jc w:val="left"/>
        <w:rPr>
          <w:rFonts w:ascii="Times New Roman" w:hAnsi="Times New Roman"/>
          <w:sz w:val="20"/>
        </w:rPr>
      </w:pPr>
      <w:r>
        <w:rPr>
          <w:rFonts w:ascii="Times New Roman" w:hAnsi="Times New Roman"/>
          <w:sz w:val="20"/>
        </w:rPr>
        <w:t xml:space="preserve">550 South Tryon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Affiliated Managers Group, Inc., a Delaware corporation (the </w:t>
      </w:r>
      <w:r>
        <w:rPr>
          <w:rFonts w:ascii="Times New Roman" w:hAnsi="Times New Roman"/>
          <w:sz w:val="20"/>
          <w:u w:val="single"/>
        </w:rPr>
        <w:t>Company</w:t>
      </w:r>
      <w:r>
        <w:rPr>
          <w:rFonts w:ascii="Times New Roman" w:hAnsi="Times New Roman"/>
          <w:sz w:val="20"/>
        </w:rPr>
        <w:t>), proposes to issue and sell to the several underwriters listed in Schedule I hereto (the </w:t>
      </w:r>
      <w:r>
        <w:rPr>
          <w:rFonts w:ascii="Times New Roman" w:hAnsi="Times New Roman"/>
          <w:sz w:val="20"/>
          <w:u w:val="single"/>
        </w:rPr>
        <w:t>Underwriters</w:t>
      </w:r>
      <w:r>
        <w:rPr>
          <w:rFonts w:ascii="Times New Roman" w:hAnsi="Times New Roman"/>
          <w:sz w:val="20"/>
        </w:rPr>
        <w:t>), for whom you are acting as representatives (the </w:t>
      </w:r>
      <w:r>
        <w:rPr>
          <w:rFonts w:ascii="Times New Roman" w:hAnsi="Times New Roman"/>
          <w:sz w:val="20"/>
          <w:u w:val="single"/>
        </w:rPr>
        <w:t>Representatives</w:t>
      </w:r>
      <w:r>
        <w:rPr>
          <w:rFonts w:ascii="Times New Roman" w:hAnsi="Times New Roman"/>
          <w:sz w:val="20"/>
        </w:rPr>
        <w:t>), $400,000,000 aggregate principal amount of its 6.750% Junior Subordinated Notes due 2064 (the </w:t>
      </w:r>
      <w:r>
        <w:rPr>
          <w:rFonts w:ascii="Times New Roman" w:hAnsi="Times New Roman"/>
          <w:sz w:val="20"/>
          <w:u w:val="single"/>
        </w:rPr>
        <w:t>Firm Securities</w:t>
      </w:r>
      <w:r>
        <w:rPr>
          <w:rFonts w:ascii="Times New Roman" w:hAnsi="Times New Roman"/>
          <w:sz w:val="20"/>
        </w:rPr>
        <w:t>) and, at the election of the Underwriters, up to $50,000,000 aggregate principal amount of its 6.750% Junior Subordinated Notes due 2064 (the </w:t>
      </w:r>
      <w:r>
        <w:rPr>
          <w:rFonts w:ascii="Times New Roman" w:hAnsi="Times New Roman"/>
          <w:sz w:val="20"/>
          <w:u w:val="single"/>
        </w:rPr>
        <w:t>Optional Securities</w:t>
      </w:r>
      <w:r>
        <w:rPr>
          <w:rFonts w:ascii="Times New Roman" w:hAnsi="Times New Roman"/>
          <w:sz w:val="20"/>
        </w:rPr>
        <w:t>). The Firm Securities and the Optional Securities that the Underwriters elect to purchase pursuant to Section 2 hereof are herein collectively called the </w:t>
      </w:r>
      <w:r>
        <w:rPr>
          <w:rFonts w:ascii="Times New Roman" w:hAnsi="Times New Roman"/>
          <w:sz w:val="20"/>
          <w:u w:val="single"/>
        </w:rPr>
        <w:t>Securities</w:t>
      </w:r>
      <w:r>
        <w:rPr>
          <w:rFonts w:ascii="Times New Roman" w:hAnsi="Times New Roman"/>
          <w:sz w:val="20"/>
        </w:rPr>
        <w:t>. The Securities will be issued pursuant to a base indenture dated as of March 27, 2019, as supplemented by a Fourth Supplemental Indenture to be dated as of March 20, 2024 (collectively, the </w:t>
      </w:r>
      <w:r>
        <w:rPr>
          <w:rFonts w:ascii="Times New Roman" w:hAnsi="Times New Roman"/>
          <w:sz w:val="20"/>
          <w:u w:val="single"/>
        </w:rPr>
        <w:t>Indenture</w:t>
      </w:r>
      <w:r>
        <w:rPr>
          <w:rFonts w:ascii="Times New Roman" w:hAnsi="Times New Roman"/>
          <w:sz w:val="20"/>
        </w:rPr>
        <w:t>), each between the Company and U.S. Bank Trust Company, National Association, as trustee (the </w:t>
      </w:r>
      <w:r>
        <w:rPr>
          <w:rFonts w:ascii="Times New Roman" w:hAnsi="Times New Roman"/>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confirms its agreement with the several Underwriters concerning the purchase and sale of the Securities,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Registration Statement</w:t>
      </w:r>
      <w:r>
        <w:rPr>
          <w:rFonts w:ascii="Times New Roman" w:hAnsi="Times New Roman"/>
          <w:sz w:val="20"/>
        </w:rPr>
        <w:t>. The Company has prepared and filed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and the rules and regulations of the Commission thereunder (collectively, the </w:t>
      </w:r>
      <w:r>
        <w:rPr>
          <w:rFonts w:ascii="Times New Roman" w:hAnsi="Times New Roman"/>
          <w:sz w:val="20"/>
          <w:u w:val="single"/>
        </w:rPr>
        <w:t>Securities Act</w:t>
      </w:r>
      <w:r>
        <w:rPr>
          <w:rFonts w:ascii="Times New Roman" w:hAnsi="Times New Roman"/>
          <w:sz w:val="20"/>
        </w:rPr>
        <w:t>), an automatic shelf registration statement, as defined in Rule 405 under the Securities Act, on Form S-3 (File No. 333-263148), including a prospectus, to be used in connection with the public offering and sale of the Securities, which incorporates by reference documents that the Company has filed or will file in accordance with the provisions of the Securities Exchange Act of 1934, as amended, and the rules and regulations thereunder (the </w:t>
      </w:r>
      <w:r>
        <w:rPr>
          <w:rFonts w:ascii="Times New Roman" w:hAnsi="Times New Roman"/>
          <w:sz w:val="20"/>
          <w:u w:val="single"/>
        </w:rPr>
        <w:t>Exchange Act</w:t>
      </w:r>
      <w:r>
        <w:rPr>
          <w:rFonts w:ascii="Times New Roman" w:hAnsi="Times New Roman"/>
          <w:sz w:val="20"/>
        </w:rPr>
        <w:t>). Such registration statement, as it may have heretofore been amended, including the information, if any, deemed pursuant to Rule 430A, 430B or 430C under the Securities Act to be part of the registration statement at the time of its effectiveness (</w:t>
      </w:r>
      <w:r>
        <w:rPr>
          <w:rFonts w:ascii="Times New Roman" w:hAnsi="Times New Roman"/>
          <w:sz w:val="20"/>
          <w:u w:val="single"/>
        </w:rPr>
        <w:t>Rule 430 Information</w:t>
      </w:r>
      <w:r>
        <w:rPr>
          <w:rFonts w:ascii="Times New Roman" w:hAnsi="Times New Roman"/>
          <w:sz w:val="20"/>
        </w:rPr>
        <w:t>), is referred to herein as the </w:t>
      </w:r>
      <w:r>
        <w:rPr>
          <w:rFonts w:ascii="Times New Roman" w:hAnsi="Times New Roman"/>
          <w:sz w:val="20"/>
          <w:u w:val="single"/>
        </w:rPr>
        <w:t>Registration Statement</w:t>
      </w:r>
      <w:r>
        <w:rPr>
          <w:rFonts w:ascii="Times New Roman" w:hAnsi="Times New Roman"/>
          <w:sz w:val="20"/>
        </w:rPr>
        <w:t>; and as used herein, the term </w:t>
      </w:r>
      <w:r>
        <w:rPr>
          <w:rFonts w:ascii="Times New Roman" w:hAnsi="Times New Roman"/>
          <w:sz w:val="20"/>
          <w:u w:val="single"/>
        </w:rPr>
        <w:t>Preliminary Prospectus</w:t>
      </w:r>
      <w:r>
        <w:rPr>
          <w:rFonts w:ascii="Times New Roman" w:hAnsi="Times New Roman"/>
          <w:sz w:val="20"/>
        </w:rPr>
        <w:t> means each prospectus included in such registration statement (and any amendments thereto) at the time it became effective and the prospectus included in the Registration Statement at its most recent effective date that omits Rule 430 Information, and the term </w:t>
      </w:r>
      <w:r>
        <w:rPr>
          <w:rFonts w:ascii="Times New Roman" w:hAnsi="Times New Roman"/>
          <w:sz w:val="20"/>
          <w:u w:val="single"/>
        </w:rPr>
        <w:t>Prospectus</w:t>
      </w:r>
      <w:r>
        <w:rPr>
          <w:rFonts w:ascii="Times New Roman" w:hAnsi="Times New Roman"/>
          <w:sz w:val="20"/>
        </w:rPr>
        <w:t xml:space="preserve"> means the prospectus in the form first used (or made available upon request of purchasers pursuant to Rule 173 under the Securities Act) in connection with confirmation of sales of the Securities.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Exchange Act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At or prior to the time when sales of the Securities were first made (the </w:t>
      </w:r>
      <w:r>
        <w:rPr>
          <w:rFonts w:ascii="Times New Roman" w:hAnsi="Times New Roman"/>
          <w:sz w:val="20"/>
          <w:u w:val="single"/>
        </w:rPr>
        <w:t>Time of Sale</w:t>
      </w:r>
      <w:r>
        <w:rPr>
          <w:rFonts w:ascii="Times New Roman" w:hAnsi="Times New Roman"/>
          <w:sz w:val="20"/>
        </w:rPr>
        <w:t>), the Company had prepared the following information (collectively, the </w:t>
      </w:r>
      <w:r>
        <w:rPr>
          <w:rFonts w:ascii="Times New Roman" w:hAnsi="Times New Roman"/>
          <w:sz w:val="20"/>
          <w:u w:val="single"/>
        </w:rPr>
        <w:t>Time of Sale Information</w:t>
      </w:r>
      <w:r>
        <w:rPr>
          <w:rFonts w:ascii="Times New Roman" w:hAnsi="Times New Roman"/>
          <w:sz w:val="20"/>
        </w:rPr>
        <w:t xml:space="preserve">), a Preliminary Prospectus dated March 14, 2024, and each free-writing prospectus (as defined pursuant to Rule 405 under the Securities Act) listed on </w:t>
      </w:r>
      <w:r>
        <w:rPr>
          <w:rFonts w:ascii="Times New Roman" w:hAnsi="Times New Roman"/>
          <w:sz w:val="20"/>
          <w:u w:val="single"/>
        </w:rPr>
        <w:t>Annex A</w:t>
      </w:r>
      <w:r>
        <w:rPr>
          <w:rFonts w:ascii="Times New Roman" w:hAnsi="Times New Roman"/>
          <w:sz w:val="20"/>
        </w:rPr>
        <w:t xml:space="preserve"> hereto as constituting part of the Time of Sale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Purchase of the Securities by the 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Firm Securities set forth opposite such Underwriters name in Schedule I hereto at a price equal to 96.85% of the principal amount thereof for retail orders ($24.2125 purchase price per Security in respect of $184,182,500 aggregate principal amount) and 98.00% of the principal amount thereof for institutional orders ($24.50 purchase price per Security in respect of $215,817,500 aggregate principal amount), plus accrued interest, if any, from March 20, 2024 to the First Time of Delivery (as defined below) and (ii) in the event and to the extent that the Underwriters shall exercise the election to purchase Optional Securities as provided below,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agrees to issue to each of the Underwriters, and each of the Underwriters agrees, severally and not jointly, to purchase from the Company, at the price for retail orders described above, that portion of the principal amount of Optional Securities as to which such election shall have been exercised (to be adjusted by you so as to avoid purchases of Securities other than in integral multiples of $25) determined by multiplying such principal amount of Optional Securities by a fraction the numerator of which is the maximum principle amount of Optional Securities which such Underwriter is entitled to purchase as set forth opposite the name of such Underwriter in</w:t>
      </w:r>
      <w:r>
        <w:rPr>
          <w:rFonts w:ascii="Times New Roman" w:hAnsi="Times New Roman"/>
          <w:sz w:val="20"/>
          <w:u w:val="single"/>
        </w:rPr>
        <w:t> Schedule I</w:t>
      </w:r>
      <w:r>
        <w:rPr>
          <w:rFonts w:ascii="Times New Roman" w:hAnsi="Times New Roman"/>
          <w:sz w:val="20"/>
        </w:rPr>
        <w:t xml:space="preserve"> hereto and the denominator of which is the maximum principal amount of Optional Securities that all of the Underwriters are entitled to purchase 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grants to the Underwriters the right to purchase at their election up to $50,000,000 aggregate principal amount of its 6.750% Junior Subordinated Notes due 2064, at the price for retail orders set forth above, for the sole purpose of covering over-allotments, if any. Any such election to purchase Optional Securities may be exercised only by written notice from the Representatives to the Company, given within a period of 30 calendar days after the date of this Agreement and setting forth the aggregate principal amount of Optional Securities to be purchased and the date on which such Optional Securities are to be delivered, as determined by the Representatives but in no event earlier than the First Time of Delivery (as defined in Section 2(b) hereof), or unless the Representatives and the Company otherwise agree in writing, earlier than two or later than ten business days (as defined in Section 14(b) hereof) after the date of such notice; provided that such election with respect to Optional Securities to be delivered on the First Time of Delivery may be effected by a notice dated at least one business day before the First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understands that the Underwriters intend to make a public offering of the Securities as soon after the effectiveness of this Agreement as in the judgment of the Representatives is advisable, and initially to offer the Securities on the terms set forth in the Prospectus. The Company acknowledges and agrees that the Underwriters may offer and sell Securities to or through any affiliate of an Underwriter and that any such affiliate may offer and sell Securities purchased by it to or through any Underwriter. The Company will not be obligated to deliver any of the Securities except upon payment for all the Securities to be purchased as provided herein. </w:t>
      </w:r>
    </w:p>
    <w:p>
      <w:pPr>
        <w:pStyle w:val="TextBody"/>
        <w:bidi w:val="0"/>
        <w:spacing w:before="240" w:after="0"/>
        <w:jc w:val="left"/>
        <w:rPr>
          <w:rFonts w:ascii="Times New Roman" w:hAnsi="Times New Roman"/>
          <w:sz w:val="20"/>
        </w:rPr>
      </w:pPr>
      <w:r>
        <w:rPr>
          <w:rFonts w:ascii="Times New Roman" w:hAnsi="Times New Roman"/>
          <w:sz w:val="20"/>
        </w:rPr>
        <w:t>(b) Payment for and delivery with respect to the Securities will be made at the offices of Sidley Austin LLP, 787 Seventh Ave., New York, New York 10019 at 10:00 A.M., New York City time, on March 20, 2024, or at such other time or place on the same or such other date, not later than the third business day thereafter, as the Representatives and the Company may agree upon in writing, and with respect to the Optional Securities, 10:00 AM, New York City time, on the date specified by the Representatives in the written notice given by the Representatives of the Underwriters election to purchase such Optional Securities, or such other time and date as the Representatives and the Company may agree upon in writing. The time and date of payment and delivery for the Firm Securities is referred to herein as the </w:t>
      </w:r>
      <w:r>
        <w:rPr>
          <w:rFonts w:ascii="Times New Roman" w:hAnsi="Times New Roman"/>
          <w:sz w:val="20"/>
          <w:u w:val="single"/>
        </w:rPr>
        <w:t>First Time of Delivery</w:t>
      </w:r>
      <w:r>
        <w:rPr>
          <w:rFonts w:ascii="Times New Roman" w:hAnsi="Times New Roman"/>
          <w:sz w:val="20"/>
        </w:rPr>
        <w:t>; each such time and date for delivery of the Optional Securities, if not the First Time of Delivery, is herein called a </w:t>
      </w:r>
      <w:r>
        <w:rPr>
          <w:rFonts w:ascii="Times New Roman" w:hAnsi="Times New Roman"/>
          <w:sz w:val="20"/>
          <w:u w:val="single"/>
        </w:rPr>
        <w:t>Second Time of Delivery</w:t>
      </w:r>
      <w:r>
        <w:rPr>
          <w:rFonts w:ascii="Times New Roman" w:hAnsi="Times New Roman"/>
          <w:sz w:val="20"/>
        </w:rPr>
        <w:t>; and each such time and date for delivery is herein called a </w:t>
      </w:r>
      <w:r>
        <w:rPr>
          <w:rFonts w:ascii="Times New Roman" w:hAnsi="Times New Roman"/>
          <w:sz w:val="20"/>
          <w:u w:val="single"/>
        </w:rPr>
        <w:t>Time of Delivery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Payment for the Securities shall be made by wire transfer in immediately available funds to the account(s) specified by the Company to the Representatives against delivery to the nominee of The Depository Trust Company (</w:t>
      </w:r>
      <w:r>
        <w:rPr>
          <w:rFonts w:ascii="Times New Roman" w:hAnsi="Times New Roman"/>
          <w:sz w:val="20"/>
          <w:u w:val="single"/>
        </w:rPr>
        <w:t>DTC</w:t>
      </w:r>
      <w:r>
        <w:rPr>
          <w:rFonts w:ascii="Times New Roman" w:hAnsi="Times New Roman"/>
          <w:sz w:val="20"/>
        </w:rPr>
        <w:t>), for the account of the Underwriters, of one or more global notes representing the Securities (collectively, the </w:t>
      </w:r>
      <w:r>
        <w:rPr>
          <w:rFonts w:ascii="Times New Roman" w:hAnsi="Times New Roman"/>
          <w:sz w:val="20"/>
          <w:u w:val="single"/>
        </w:rPr>
        <w:t>Global Note</w:t>
      </w:r>
      <w:r>
        <w:rPr>
          <w:rFonts w:ascii="Times New Roman" w:hAnsi="Times New Roman"/>
          <w:sz w:val="20"/>
        </w:rPr>
        <w:t xml:space="preserve">), with any transfer taxes payable in connection with the sale of the Securities duly paid by the Company. The Global Note will be made available for inspection by the Representatives not later than 1:00 P.M., New York City time, on the business day prior to each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acknowledges and agrees that the Underwriters are acting solely in the capacity of an arms length contractual counterparty to the Company with respect to the offering of the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Preliminary Prospectus. </w:t>
      </w:r>
      <w:r>
        <w:rPr>
          <w:rFonts w:ascii="Times New Roman" w:hAnsi="Times New Roman"/>
          <w:sz w:val="20"/>
        </w:rPr>
        <w:t xml:space="preserve">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any Underwriter Information (as defined in Section 7(b)).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Time of Sale Information</w:t>
      </w:r>
      <w:r>
        <w:rPr>
          <w:rFonts w:ascii="Times New Roman" w:hAnsi="Times New Roman"/>
          <w:sz w:val="20"/>
        </w:rPr>
        <w:t xml:space="preserve">. The Time of Sale Information at the Time of Sale did not, and at each Time of Delivery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reliance upon and in conformity with any Underwriter Information. No statement of material fact included in the Prospectus was omitted from the Time of Sale Information if such statement of material fact would have been necessary to make the statements in the Time of Sale Information, in the light of the circumstances under which they were made, not misleading, and no statement of material fact included in the Time of Sale Information that is required to be included in the Prospectus has been omitted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Times New Roman" w:hAnsi="Times New Roman"/>
          <w:sz w:val="20"/>
          <w:u w:val="single"/>
        </w:rPr>
        <w:t>Issuer Free Writing Prospectus</w:t>
      </w:r>
      <w:r>
        <w:rPr>
          <w:rFonts w:ascii="Times New Roman" w:hAnsi="Times New Roman"/>
          <w:sz w:val="20"/>
        </w:rPr>
        <w:t xml:space="preserve">) other than (i) any document not constituting a prospectus pursuant to Section 2(a)(10)(a) of the Securities Act or Rule 134 under the Securities Act, (ii) the Preliminary Prospectus, (iii) the Prospectus, (iv) the documents listed on </w:t>
      </w:r>
      <w:r>
        <w:rPr>
          <w:rFonts w:ascii="Times New Roman" w:hAnsi="Times New Roman"/>
          <w:sz w:val="20"/>
          <w:u w:val="single"/>
        </w:rPr>
        <w:t>Annex A</w:t>
      </w:r>
      <w:r>
        <w:rPr>
          <w:rFonts w:ascii="Times New Roman" w:hAnsi="Times New Roman"/>
          <w:sz w:val="20"/>
        </w:rPr>
        <w:t xml:space="preserve"> hereto as constituting the Time of Sale Information and (v) any electronic road show or other written communications, in each case approved in writing in advance by the Representatives. Each such Issuer Free Writing Prospectus complied in all material respects with the Securities Act, has been or will be (within the time period specified in Rule 433 under the Securities Act) filed in accordance with the Securities Act (to the extent required thereby) and, when taken together with the Preliminary Prospectus accompanying, or delivered prior to delivery of, or filed prior to the first use of such Issuer Free Writing Prospectus, did not, and at each Time of Delivery,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any statements or omissions made in each such Issuer Free Writing Prospectus in reliance upon and in conformity with any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Registration Statement and Prospectus. </w:t>
      </w:r>
      <w:r>
        <w:rPr>
          <w:rFonts w:ascii="Times New Roman" w:hAnsi="Times New Roman"/>
          <w:sz w:val="20"/>
        </w:rPr>
        <w:t>The Registration Statement is an automatic shelf registration statement as defined in Rule 405 under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Times New Roman" w:hAnsi="Times New Roman"/>
          <w:sz w:val="20"/>
          <w:u w:val="single"/>
        </w:rPr>
        <w:t>Trust Indenture Act</w:t>
      </w:r>
      <w:r>
        <w:rPr>
          <w:rFonts w:ascii="Times New Roman" w:hAnsi="Times New Roman"/>
          <w:sz w:val="20"/>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each Time of Delivery,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and warranty with respect to (i) that part of the Registration Statement that constitutes the Statement of Eligibility and Qualification (Form T-1) of the Trustee under the Trust Indenture Act or (ii) any statements or omissions made in reliance upon and in conformity with any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Well-Known Seasoned Issuer. </w:t>
      </w:r>
      <w:r>
        <w:rPr>
          <w:rFonts w:ascii="Times New Roman" w:hAnsi="Times New Roman"/>
          <w:sz w:val="20"/>
        </w:rPr>
        <w:t xml:space="preserve">(A) At the original effectiveness of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Securities Act) made any offer relating to the Securities in reliance on the exemption of Rule 163 under the Securities Act, and (D) as of the Time of Sale, the Company was and is a well-known seasoned issuer (as defined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Company Not Ineligible Issuer</w:t>
      </w:r>
      <w:r>
        <w:rPr>
          <w:rFonts w:ascii="Times New Roman" w:hAnsi="Times New Roman"/>
          <w:sz w:val="20"/>
        </w:rPr>
        <w:t xml:space="preserve">. At the time of filing the Registration Statement and any post-effective amendment thereto, at the earliest time thereafter that the Company or another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Securities and at the date hereof, the Company was not and is not an ineligible issuer, as defined in Rule 405 under the Securities Act, without taking account of any determination by the Commission pursuant to Rule 405 under the Securities Act that it is not necessary that the Company be considered an ineligible issuer.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Incorporated Documents. </w:t>
      </w:r>
      <w:r>
        <w:rPr>
          <w:rFonts w:ascii="Times New Roman" w:hAnsi="Times New Roman"/>
          <w:sz w:val="20"/>
        </w:rPr>
        <w:t xml:space="preserve">Each document filed or to be filed pursuant to the Exchange Act and incorporated by reference in the Registration Statement, the Time of Sale Information or the Prospectus complied when it was filed, or will comply when it is filed, as the case may be, in all material respects with the Exchange Act and, when read together with the other information in the Registration Statement, the Time of Sale Information or the Prospectus, (a) at the Time of Sale and (b) at each Time of Delivery, each document filed and incorporated by reference will not contain an untrue statement of a material fact or omit to state a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Statements in the Registration Statement, the Time of Sale Information and the Prospectus</w:t>
      </w:r>
      <w:r>
        <w:rPr>
          <w:rFonts w:ascii="Times New Roman" w:hAnsi="Times New Roman"/>
          <w:sz w:val="20"/>
        </w:rPr>
        <w:t xml:space="preserve">. The statements in the Registration Statement, the Time of Sale Information and the Prospectus under the heading U.S. Federal Income Tax Consequences, insofar as they purport to constitute summaries of certain provisions of U.S. federal income tax law and regulations or legal conclusions with respect thereto, constitute accurate summaries of such matters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Authorization of the Underwriting Agreement</w:t>
      </w:r>
      <w:r>
        <w:rPr>
          <w:rFonts w:ascii="Times New Roman" w:hAnsi="Times New Roman"/>
          <w:sz w:val="20"/>
        </w:rPr>
        <w:t xml:space="preserve">.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Authorization of the Indenture. </w:t>
      </w:r>
      <w:r>
        <w:rPr>
          <w:rFonts w:ascii="Times New Roman" w:hAnsi="Times New Roman"/>
          <w:sz w:val="20"/>
        </w:rPr>
        <w:t xml:space="preserve">The Indenture has been duly authorized by the Company and duly qualified under the Trust Indenture Act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Authorization of the Securities</w:t>
      </w:r>
      <w:r>
        <w:rPr>
          <w:rFonts w:ascii="Times New Roman" w:hAnsi="Times New Roman"/>
          <w:sz w:val="20"/>
        </w:rPr>
        <w:t xml:space="preserve">. The Securities have been duly authorized by the Company and, at each Time of Delivery, will have been duly executed by the Company and, when authenticated, issued and delivered in the manner provided for in the Indenture and delivered to the Underwriters against payment of the purchase price therefor as described in the Registration Statement, the Time of Sale Information and the Prospectus, will constitute valid and binding obligations of the Company, entitled to the benefits of the Indenture and enforceable against the Company in accordance with their terms, except as the enforcement thereof may be limited by applicable bankruptcy, insolvency or similar laws affecting the enforcement of creditors rights generally or by equitable principles relating to enforceability.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Descriptions of the Transaction Documents</w:t>
      </w:r>
      <w:r>
        <w:rPr>
          <w:rFonts w:ascii="Times New Roman" w:hAnsi="Times New Roman"/>
          <w:sz w:val="20"/>
        </w:rPr>
        <w:t>. The description of this Agreement, the Securities and the Indenture (collectively, the </w:t>
      </w:r>
      <w:r>
        <w:rPr>
          <w:rFonts w:ascii="Times New Roman" w:hAnsi="Times New Roman"/>
          <w:sz w:val="20"/>
          <w:u w:val="single"/>
        </w:rPr>
        <w:t>Transaction Documents</w:t>
      </w:r>
      <w:r>
        <w:rPr>
          <w:rFonts w:ascii="Times New Roman" w:hAnsi="Times New Roman"/>
          <w:sz w:val="20"/>
        </w:rPr>
        <w:t xml:space="preserve">) set forth in the Registration Statement, the Time of Sale Information and the Prospectus is correct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No Material Adverse Effect. </w:t>
      </w:r>
      <w:r>
        <w:rPr>
          <w:rFonts w:ascii="Times New Roman" w:hAnsi="Times New Roman"/>
          <w:sz w:val="20"/>
        </w:rPr>
        <w:t>Since December 31, 2023, except as set forth in the Registration Statement, the Time of Sale Information and the Prospectus, (i) there has been no material adverse change or prospective material adverse change in the business, management, financial position, stockholders equity or results of operations of the Company and its subsidiaries considered as one enterprise from that set forth in the Registration Statement, the Time of Sale Information and the Prospectus, whether or not arising in the ordinary course of business (a </w:t>
      </w:r>
      <w:r>
        <w:rPr>
          <w:rFonts w:ascii="Times New Roman" w:hAnsi="Times New Roman"/>
          <w:sz w:val="20"/>
          <w:u w:val="single"/>
        </w:rPr>
        <w:t>Material Adverse Effect</w:t>
      </w:r>
      <w:r>
        <w:rPr>
          <w:rFonts w:ascii="Times New Roman" w:hAnsi="Times New Roman"/>
          <w:sz w:val="20"/>
        </w:rPr>
        <w:t xml:space="preserve">), (ii) there have been no transactions entered into by the Company or any of its subsidiaries, other than those in the ordinary course of business or otherwise publicly disclosed, which are material with respect to the Company and its subsidiaries considered as one enterprise, and (iii) there has been no dividend or distribution of any kind declared, paid or made by the Company on any class of its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Independent Accountants</w:t>
      </w:r>
      <w:r>
        <w:rPr>
          <w:rFonts w:ascii="Times New Roman" w:hAnsi="Times New Roman"/>
          <w:sz w:val="20"/>
        </w:rPr>
        <w:t xml:space="preserve">. PricewaterhouseCoopers LLP, who have expressed their opinion with respect to the audited financial statements (which term as used in this Agreement includes the related notes thereto) and supporting schedules included as a part of, or incorporated by reference in, the Registration Statement, the Time of Sale Information and the Prospectus, are independent registered public accountants with respect to the Company as required by the Securities Act and the applicable published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Financial Statements. </w:t>
      </w:r>
      <w:r>
        <w:rPr>
          <w:rFonts w:ascii="Times New Roman" w:hAnsi="Times New Roman"/>
          <w:sz w:val="20"/>
        </w:rPr>
        <w:t>The financial statements included in or incorporated by reference into the Registration Statement, the Time of Sale Information and the Prospectus, together with the related schedules and notes, present fairly in all material respects (i) the financial position of the Company and its consolidated subsidiaries at the dates indicated and (ii) the consolidated statements of income, changes in stockholders equity and cash flows of the Company and its consolidated subsidiaries for the periods specified; said financial statements have been prepared in conformity with generally accepted accounting principles (</w:t>
      </w:r>
      <w:r>
        <w:rPr>
          <w:rFonts w:ascii="Times New Roman" w:hAnsi="Times New Roman"/>
          <w:sz w:val="20"/>
          <w:u w:val="single"/>
        </w:rPr>
        <w:t>GAAP</w:t>
      </w:r>
      <w:r>
        <w:rPr>
          <w:rFonts w:ascii="Times New Roman" w:hAnsi="Times New Roman"/>
          <w:sz w:val="20"/>
        </w:rPr>
        <w:t xml:space="preserve">) applied on a consistent basis throughout the periods involved, except as stated therein. The supporting schedules incorporated by reference into the Registration Statement, the Time of Sale Information and the Prospectus present fairly, in accordance with GAAP, the information required to be stated therein. Any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forma </w:t>
      </w:r>
      <w:r>
        <w:rPr>
          <w:rFonts w:ascii="Times New Roman" w:hAnsi="Times New Roman"/>
          <w:sz w:val="20"/>
        </w:rPr>
        <w:t xml:space="preserve">financial statements of the Company, and the related notes thereto, included in or incorporated by reference into the Registration Statement and the Prospectus present fairly in all material respects the information shown therein,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prepared in accordance with the Commissions rules and guidelines with respect to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forma </w:t>
      </w:r>
      <w:r>
        <w:rPr>
          <w:rFonts w:ascii="Times New Roman" w:hAnsi="Times New Roman"/>
          <w:sz w:val="20"/>
        </w:rPr>
        <w:t xml:space="preserve">financial statements and have been properly compiled on the basis described therein, and the assumptions used in the preparation thereof are reasonable and the adjustments used therein are appropriate to give effect to the transactions and circumstances referred to therein. Any other financial data derived from the financial statements of the Company included in or incorporated by reference into the Registration Statement, the Time of Sale Information and the Prospectus present fairly in all material respects the information shown therein, and have been compiled on a basis consistent in all material respects with that of the audited financial statements included in or incorporated by reference in the Registration Statement, the Time of Sale Information and the Prospectus. No other financial statements are required to be set forth in or incorporated by reference into the Registration Statement or the Prospectus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Good Standing of the Company. </w:t>
      </w:r>
      <w:r>
        <w:rPr>
          <w:rFonts w:ascii="Times New Roman" w:hAnsi="Times New Roman"/>
          <w:sz w:val="20"/>
        </w:rPr>
        <w:t xml:space="preserve">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Time of Sale Information and the Prospectus and to enter into and perform its obligations under, or as contemplated by,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Good Standing of Subsidiaries</w:t>
      </w:r>
      <w:r>
        <w:rPr>
          <w:rFonts w:ascii="Times New Roman" w:hAnsi="Times New Roman"/>
          <w:sz w:val="20"/>
        </w:rPr>
        <w:t xml:space="preserve">. Each subsidiary of the Company has been duly organized or formed and is validly existing as a corporation, limited partnership, limited liability company, limited liability partnership, Massachusetts business trust or general partnership, as the case may be, under the laws of its jurisdiction of organization and is in good standing under the laws of its jurisdiction of organization, has power (corporate or otherwise) and authority to own, lease and operate its properties and to conduct its business as described in the Registration Statement, the Time of Sale Information and the Prospectus and is duly qualified as a foreign corporation, limited partnership, limited liability company, limited liability partnership, Massachusetts business trust or general partnership, as the case may be, to transact business and is in good standing in each jurisdiction in which such qualification is required, whether by reason of the ownership or leasing of property or the conduct of business, except where the failure to so qualify or to be in good standing would not result in a Material Adverse Effect. Except as otherwise disclosed in the Registration Statement, the Time of Sale Information and Prospectus, all of the issued shares of capital stock of each subsidiary of the Company which is a corporation have been duly authorized and validly issued and are fully paid and non-assessable, and to the extent owned by the Company or any of its subsidiaries (except for directors qualifying shares and as described or reflected generally in the Registration Statement, the Time of Sale Information and the Prospectus) are owned directly or indirectly by the Company, free and clear of all liens, encumbrances, equities or claims, in each case with such exceptions, individually or in the aggregate, as would not have a Material Adverse Effect. The partnership interests, membership interests and shares of beneficial interest of each subsidiary of the Company which is a partnership, limited liability company, limited partnership, limited liability partnership or Massachusetts business trust have been validly issued in accordance with applicable law and the partnership agreement, limited liability agreement or declaration of trust, as applicable, of such subsidiary, and to the extent owned by the Company or any of its subsidiaries (except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described or reflected generally in the Registration Statement, the Time of Sale Information and the Prospectus) are owned directly or indirectly by the Company, free and clear of all liens, encumbrances, equities or claims, in each case with such exceptions, individually or in the aggregate, as would not have a Material Adverse Effect; and none of the outstanding shares of capital stock, partnership interests, membership interests or shares of beneficial interests, as the case may be, of any subsidiary of the Company was issued in violation of the preemptive or similar rights of any securityholder of such subsidiary, in each case with such exceptions, individually or in the aggregate, as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Capitalization. </w:t>
      </w:r>
      <w:r>
        <w:rPr>
          <w:rFonts w:ascii="Times New Roman" w:hAnsi="Times New Roman"/>
          <w:sz w:val="20"/>
        </w:rPr>
        <w:t xml:space="preserve">The Company has the authorized, issued and outstanding capitalization described in the Registration Statement, the Time of Sale Information and the Prospectus (except for subsequent issuances, if any, pursuant to reservations, agreements or employee benefit plans or pursuant to the exercise of convertible securities or options or upon the redemption or repurchase of outstanding securities, in each case accurately described or reflected in the Registration Statement, the Time of Sale Information and the Prospectus, as amended or supplemented). The shares of issued and outstanding capital stock of the Company have been duly authorized and validly issued and are fully paid and non-assessable; and none of the outstanding shares of capital stock of the Company was issued in violation of the preemptive or other similar rights of any securityholder of the Company. There are no authorized or outstanding options, warrants, preemptive rights, rights of first refusal or other rights to purchase, or equity or debt securities convertible into or exchangeable or exercisable for, any capital stock of the Company other than those accurately described or reflected in the Registration Statement, the Time of Sale Information and the Prospectus, as amended or supplemented, or pursuant to reservations, agreements or employee benefit plans or the exercise of convertible securities or options or upon the redemption or repurchase of outstanding securities, in each case accurately described or reflected in the Time of Sale Information and the Prospectus, as amended or supplemented. Except as would not, individually or in the aggregate, have a Material Adverse Effect, there are no authorized or outstanding options, warrants, preemptive rights, rights of first refusal or other rights to purchase, or equity or debt securities convertible into or exchangeable or exercisable for, any capital stock of any of the Companys subsidiaries, other than those accurately described or reflected in the Registration Statement, the Time of Sale Information and the Prospectus, as amended or supplemented, or pursuant to reservations, agreements or employee benefit plans or the exercise of convertible securities or options or upon the redemption or repurchase of outstanding securities, in each case accurately described or reflected in the Time of Sale Information and the Prospectus, as amended or supplemented.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Absence of Defaults and Conflicts. </w:t>
      </w:r>
      <w:r>
        <w:rPr>
          <w:rFonts w:ascii="Times New Roman" w:hAnsi="Times New Roman"/>
          <w:sz w:val="20"/>
        </w:rPr>
        <w:t>Neither the Company nor any of its subsidiaries is in violation of its charter or by-laws or other constituting or organizational document or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of the Company is subject (collectively, </w:t>
      </w:r>
      <w:r>
        <w:rPr>
          <w:rFonts w:ascii="Times New Roman" w:hAnsi="Times New Roman"/>
          <w:sz w:val="20"/>
          <w:u w:val="single"/>
        </w:rPr>
        <w:t>Agreements and Instruments</w:t>
      </w:r>
      <w:r>
        <w:rPr>
          <w:rFonts w:ascii="Times New Roman" w:hAnsi="Times New Roman"/>
          <w:sz w:val="20"/>
        </w:rPr>
        <w:t xml:space="preserve">), except for such defaults that would not result in a Material Adverse Effect; and the execution, delivery and performance of each of the Transaction Documents and any other agreement or instrument entered into or issued, or to be entered into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issued by, the Company in connection with the transactions contemplated hereby or thereby or in the Registration Statement, the Time of Sale Information and the Prospectus and the consummation of the transactions contemplated herein and in the Registration Statement, the Time of Sale Information and the Prospectus (including the issuance and sale of the Securities by the Company and the use of the proceeds by the Company from the sale of the Securities as described in the Registration Statement, the Time of Sale Information and the Prospectus under the caption Use of Proceeds) and compliance by the Company with its obligations hereunder and thereunder have been duly authorized by all necessary corporate action and do not, whether with or without the giving of notice or passage of time or both, conflict with or constitute a breach of, or default under, or result in the creation or imposition of any lien, charge or encumbrance upon any property or assets of the Company or any subsidiary of the Company pursuant to, the Agreements and Instruments (except for such conflicts, breaches or defaults or liens, charges or encumbrances that would not result in a Material Adverse Effect), nor will such action result in any violation of the provisions of the charter or by-laws or other constituting or organizational instrument as in effect on the date hereof of the Company or any subsidiary of the Company or any applicable law, statute, rule, regulation, judgment, order, writ or decree of any government, government instrumentality or court, domestic or foreign, having jurisdiction over the Company or any subsidiary of the Company or any of their assets, properties or operations, except for any such violation of any applicable law, statute, rule, regulation, judgment, order, writ or decree of law which would not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Absence of Further Requirements</w:t>
      </w:r>
      <w:r>
        <w:rPr>
          <w:rFonts w:ascii="Times New Roman" w:hAnsi="Times New Roman"/>
          <w:sz w:val="20"/>
        </w:rPr>
        <w:t xml:space="preserve">. No filing with, or authorization, approval, consent, license, order, registration, qualification or decree of, any court or governmental authority or agency is necessary or required for the performance by the Company of its obligations hereunder or under the Transaction Documents, in connection with the transactions contemplated thereby (including, without limitation, the offering, issuance or sale of the Securities hereunder, or the consummation of the transactions contemplated by the Transaction Documents) or for the due execution, delivery or performance of the Transaction Documents, except such as have been already obtained or as may be required under the Securities Act and the rules and regulations thereunder or state securities laws and except for the qualification of the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No Material Actions or Proceedings. </w:t>
      </w:r>
      <w:r>
        <w:rPr>
          <w:rFonts w:ascii="Times New Roman" w:hAnsi="Times New Roman"/>
          <w:sz w:val="20"/>
        </w:rPr>
        <w:t xml:space="preserve">Except as disclosed in the Registration Statement, the Time of Sale Information and the Prospectus, there is no action, suit, proceeding, inquiry or investigation before or brought by any court or governmental agency or body, domestic or foreign, now pending, or, to the knowledge of the Company, threatened, against or affecting the Company or any subsidiary of the Company, which, singly or in the aggregate, would reasonably be expected to result in a Material Adverse Effect, or which would reasonably be expected to materially and adversely affect the consummation of the transactions contemplated in the Transaction Documents or the performance by the Company of its obligations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Accuracy of Exhibits</w:t>
      </w:r>
      <w:r>
        <w:rPr>
          <w:rFonts w:ascii="Times New Roman" w:hAnsi="Times New Roman"/>
          <w:sz w:val="20"/>
        </w:rPr>
        <w:t xml:space="preserve">. All of the descriptions of contracts or other documents contained or incorporated by reference in the Registration Statement, the Time of Sale Information and the Prospectus are accurate and complete descriptions in all material respects of such contracts or other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 xml:space="preserve">Possession of Licenses and Permits. </w:t>
      </w:r>
      <w:r>
        <w:rPr>
          <w:rFonts w:ascii="Times New Roman" w:hAnsi="Times New Roman"/>
          <w:sz w:val="20"/>
        </w:rPr>
        <w:t>The Company and its subsidiaries possess such permits, licenses, approvals, consents and other authorizations (collectively, </w:t>
      </w:r>
      <w:r>
        <w:rPr>
          <w:rFonts w:ascii="Times New Roman" w:hAnsi="Times New Roman"/>
          <w:sz w:val="20"/>
          <w:u w:val="single"/>
        </w:rPr>
        <w:t>Governmental Licenses</w:t>
      </w:r>
      <w:r>
        <w:rPr>
          <w:rFonts w:ascii="Times New Roman" w:hAnsi="Times New Roman"/>
          <w:sz w:val="20"/>
        </w:rPr>
        <w:t xml:space="preserve">) issued by the appropriate federal, state, local or foreign regulatory agencies or bodies necessary to conduct the business now operated by them; the Company and its subsidiaries are in compliance with the terms and conditions of all such Governmental Licenses, except in any such case where the failure to so possess or to comply would not, singly or in the aggregate, have a Material Adverse Effect; all of the Governmental Licenses are valid and in full force and effect, except where the invalidity of such Governmental Licenses or the failure of such Governmental Licenses to be in full force and effect would not have a Material Adverse Effect; and neither the Company nor any of its subsidiaries has received any notice of proceedings relating to the revocation or modification of any such Governmental Licenses which, singly or in the aggregate, if the subject of an unfavorable decision, ruling or finding, would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Title to Properties. </w:t>
      </w:r>
      <w:r>
        <w:rPr>
          <w:rFonts w:ascii="Times New Roman" w:hAnsi="Times New Roman"/>
          <w:sz w:val="20"/>
        </w:rPr>
        <w:t xml:space="preserve">The Company and its subsidiaries have good and marketable title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Registration Statement, the Time of Sale Information and the Prospectus or (b) would not, singly or in the aggregate, result in a Material Adverse Effect; and all of the leases and subleases material to the business of the Company and its subsidiaries, considered as one enterprise, and under which the Company or any of its subsidiaries holds properties described in the Registration Statement, the Time of Sale Information and the Prospectus, are in full force and effect, and neither the Company nor any subsidiary of the Company has any notice of any material claim of any sort that has been asserted by anyone adverse to the rights of the Company or any subsidiary of the Company under any of the leases or subleases mentioned above, or affecting or questioning the rights of the Company or such subsidiary to the continued possession of the leased or subleased premises under any such lease or sublease.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No Investment Company. </w:t>
      </w:r>
      <w:r>
        <w:rPr>
          <w:rFonts w:ascii="Times New Roman" w:hAnsi="Times New Roman"/>
          <w:sz w:val="20"/>
        </w:rPr>
        <w:t>Neither the Company nor any of its subsidiaries is, or, upon the issuance and sale by the Company of the Securities as herein contemplated and the application of the proceeds therefrom as described in the Registration Statement, the Time of Sale Information and the Prospectus, will be, an investment company or an entity controlled by an investment company as such terms are defined in the Investment Company Act of 1940, as amended, and the rules and regulations of the Commission thereunder (collectively, the </w:t>
      </w:r>
      <w:r>
        <w:rPr>
          <w:rFonts w:ascii="Times New Roman" w:hAnsi="Times New Roman"/>
          <w:sz w:val="20"/>
          <w:u w:val="single"/>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Company Not an Investment Adviser. </w:t>
      </w:r>
      <w:r>
        <w:rPr>
          <w:rFonts w:ascii="Times New Roman" w:hAnsi="Times New Roman"/>
          <w:sz w:val="20"/>
        </w:rPr>
        <w:t>The Company is not required to register as an investment adviser or as a broker-dealer under the Investment Advisers Act of 1940, as amended, and the rules and regulations of the Commission promulgated thereunder (collectively, the </w:t>
      </w:r>
      <w:r>
        <w:rPr>
          <w:rFonts w:ascii="Times New Roman" w:hAnsi="Times New Roman"/>
          <w:sz w:val="20"/>
          <w:u w:val="single"/>
        </w:rPr>
        <w:t>Advisers Act</w:t>
      </w:r>
      <w:r>
        <w:rPr>
          <w:rFonts w:ascii="Times New Roman" w:hAnsi="Times New Roman"/>
          <w:sz w:val="20"/>
        </w:rPr>
        <w:t xml:space="preserve">) or the Exchange Act. The Company is not required to be registered, licensed or qualified as an investment adviser or broker-dealer under the laws requiring any such registration, licensing or qualification in any jurisdiction in which it or its subsidiaries conduct business. Each of the subsidiaries required to be registered as an investment adviser under the Advisers Act has been duly registered as such, and each of the subsidiaries required to be registered as a broker-dealer under the Exchange Act has been duly registered as such, and each such registration is in full force and effect, in each case to the extent such registration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with such exceptions as would not reasonably be expected to have a Material Adverse Effect. Each of the subsidiaries required to be registered, licensed or qualified as an investment adviser and broker-dealer under state and local laws where such registration, licensing or qualification is required by such laws has been duly registered as such and is in compliance with all such laws requiring any such registration, licensing or qualification, in each case with such exceptions, individually or in the aggregate,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Compliance with Laws. </w:t>
      </w:r>
      <w:r>
        <w:rPr>
          <w:rFonts w:ascii="Times New Roman" w:hAnsi="Times New Roman"/>
          <w:sz w:val="20"/>
        </w:rPr>
        <w:t>Each subsidiary of the Company which is required to be registered as an investment adviser or broker-dealer is and has been in compliance with all applicable laws and governmental rules and regulations, as may be applicable to its investment advisory or broker-dealer business, except to the extent that such non-compliance would not reasonably be expected to result in a Material Adverse Effect and none of such subsidiaries is prohibited by any provision of the Advisers Act or the Investment Company Act from acting as an investment adviser. Each subsidiary of the Company which is required to be registered as a broker-dealer is a member in good standing of the Financial Industry Regulatory Authority (</w:t>
      </w:r>
      <w:r>
        <w:rPr>
          <w:rFonts w:ascii="Times New Roman" w:hAnsi="Times New Roman"/>
          <w:sz w:val="20"/>
          <w:u w:val="single"/>
        </w:rPr>
        <w:t>FINRA</w:t>
      </w:r>
      <w:r>
        <w:rPr>
          <w:rFonts w:ascii="Times New Roman" w:hAnsi="Times New Roman"/>
          <w:sz w:val="20"/>
        </w:rPr>
        <w:t xml:space="preserve">). No subsidiary of the Company which is required to be registered as an investment adviser or broker-dealer is in default with respect to any judgment, order, writ, injunction, decree, demand or assessment issued by any court or any foreign, federal, state, municipal or other governmental agency, board, commission, bureau, instrumentality or department, domestic or foreign, or by any self-regulatory authority relating to any aspect of its investment advisory or broker-dealer business, which would need to be disclosed pursuant to Rule 206(4)-4(b) under the Advisers Act, or which is reasonably likely to give rise to an affirmative answer to any of the questions in Item 11, Part 1 of the Form ADV of such registered investment adviser or which is reasonably likely to give rise to an affirmative answer to any of the questions in Item 7 of the Form BD of such broker-dealer.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Registration of Funds. </w:t>
      </w:r>
      <w:r>
        <w:rPr>
          <w:rFonts w:ascii="Times New Roman" w:hAnsi="Times New Roman"/>
          <w:sz w:val="20"/>
        </w:rPr>
        <w:t>Each mutual fund of which a subsidiary of the Company serves as the investment advisor (a </w:t>
      </w:r>
      <w:r>
        <w:rPr>
          <w:rFonts w:ascii="Times New Roman" w:hAnsi="Times New Roman"/>
          <w:sz w:val="20"/>
          <w:u w:val="single"/>
        </w:rPr>
        <w:t>Mutual Fund</w:t>
      </w:r>
      <w:r>
        <w:rPr>
          <w:rFonts w:ascii="Times New Roman" w:hAnsi="Times New Roman"/>
          <w:sz w:val="20"/>
        </w:rPr>
        <w:t xml:space="preserve">) has been since inception, is currently and will be immediately after consummation of the transactions contemplated herein, a duly registered investment company in compliance with the Investment Company Act, and the rules and regulations promulgated thereunder and duly registered or licensed, except where any failure to be duly registered, individually or in the aggregate, would not reasonably be expected to result in a Material Adverse Effect. Since their initial offering, shares of each of the Mutual Funds have been duly qualified for sale under the securities laws of each jurisdiction in which they have been sold or offered for sale at such time or times during which such qualification was required, and, if not so qualified, the failure to so qualify would not reasonably be expected to have a Material Adverse Effect. The offering and sale of shares of each of the Mutual Funds have been registered under the Securities Act during such period or periods for which such registration is required; the related registration statement has become effective under the Securities Act; no stop order suspending the effectiveness of any such registration statement has been issued and no proceedings for that purpose have been instituted or, to the knowledge of the Company, are contemplated. Except to the extent that such failure to comply, misstatement or omission, as the case may be, would not reasonably be likely to result in a Material Adverse Effect, the registration statement of each Mutual Fund, together with the amendments and supplements thereto, under the Investment Company Act and the Securities Act has, at all times when such registration statement was effective, complied in all material respects with the requirements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Investment Company Act and the Securities Act then in effect and neither such registration statement nor any amendments or supplements thereto contained, at the time and in the light of the circumstances in which they were made, an untrue statement of a material fact or omitted to state a material fact required to be stated therein or necessary to make the statements therein, at the time and in the light of the circumstances under which they were made, not misleading. All shares of each of the Mutual Funds were sold pursuant to an effective registration statement, or pursuant to a valid exemption from registration, and have been duly authorized and are validly issued, fully paid and non-assessable. Each of the Mutual Funds investments has been made in accordance with its investment policies and restrictions set forth in its registration statement in effect at the time the investments were made and have been held in accordance with its respective investment policies and restrictions, to the extent applicable and in effect at the time such investments were held, except to the extent any failure to comply with such policies and restrictions,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Investment Advisory Agreements</w:t>
      </w:r>
      <w:r>
        <w:rPr>
          <w:rFonts w:ascii="Times New Roman" w:hAnsi="Times New Roman"/>
          <w:sz w:val="20"/>
        </w:rPr>
        <w:t xml:space="preserve">. The Company is not a party as an investment advisor or distributor to any investment advisory agreement or distribution agreement and is not serving or acting as an investment adviser to any person. Each of the investment advisory agreements to which any of its subsidiaries is a party is a legal and valid obligation of such subsidiary and complies with the applicable requirements of the Advisers Act and the rules and regulations of the Commission thereunder, except where the failure to so comply would not, individually or in the aggregate, reasonably be expected to have a Material Adverse Effect. Each of the investment advisory agreements and distribution agreements between a subsidiary of the Company and a Mutual Fund is a legal and valid obligation of such subsidiary and complies with the applicable requirements of the Investment Company Act, and in the case of such distribution agreements, with the applicable requirements of the Exchange Act, except where the failure to so comply would not, individually or in the aggregate, reasonably be expected to have a Material Adverse Effect. No investment advisory agreement or distribution agreement to which any of the subsidiaries is a party that was either in effect on January 1, 2021 or entered into by a subsidiary of the Company since January 1, 2021 has been terminated or expired, except where any such termination or expiration would not, individually or in the aggregate, reasonably be expected to have a Material Adverse Effect. None of such subsidiaries is in breach or violation of or in default under any such investment advisory agreement or distribution agreement, with such exceptions individually or in the aggregate as would not reasonably be expected to have a Material Adverse Effect. No subsidiary of the Company is serving or acting as an investment adviser to any person except pursuant to an agreement to which such subsidiary is a party and which is in full force and effect, other than any agreement the non-existence of which would not, individually or in the aggregate, reasonably be expected to have a Material Adverse Effect. The consummation of the transaction contemplated herein will not constitute an assignment as such term is defined in the Advisers Act and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Internal Control over Financial Reporting</w:t>
      </w:r>
      <w:r>
        <w:rPr>
          <w:rFonts w:ascii="Times New Roman" w:hAnsi="Times New Roman"/>
          <w:sz w:val="20"/>
        </w:rPr>
        <w:t xml:space="preserve">. 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the preparation of financial statements for external purposes in accordance with generally accepted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accounting principles and the interactive data in eXtensible Business Reporting Language included or incorporated by reference in the Registration Statement. The Companys internal control over financial reporting is effective, and the Company is not aware of any material weaknesses in its internal control over financial reporting. Since the date of the latest audited financial statements included or incorporated by reference in the Registration Statement, the Time of Sale Information and the Prospectus, there has been no change in the Companys internal control over financial reporting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Disclosure Controls and Procedures</w:t>
      </w:r>
      <w:r>
        <w:rPr>
          <w:rFonts w:ascii="Times New Roman" w:hAnsi="Times New Roman"/>
          <w:sz w:val="20"/>
        </w:rPr>
        <w:t xml:space="preserve">.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No Price Stabilization or Manipulation. </w:t>
      </w:r>
      <w:r>
        <w:rPr>
          <w:rFonts w:ascii="Times New Roman" w:hAnsi="Times New Roman"/>
          <w:sz w:val="20"/>
        </w:rPr>
        <w:t xml:space="preserve">The Company has not taken, and will not take, directly or indirectly, any action designed to or that would be reasonably expected to cause or result in stabilization or manipulation of the price of any security of the Company to facilitate the sale or resale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 xml:space="preserve">Brokers. </w:t>
      </w:r>
      <w:r>
        <w:rPr>
          <w:rFonts w:ascii="Times New Roman" w:hAnsi="Times New Roman"/>
          <w:sz w:val="20"/>
        </w:rPr>
        <w:t xml:space="preserve">There is no broker, finder or other party that is entitled to receive from the Company any brokerage or finders fee or other fee or commission as a result of any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No Unlawful Payments</w:t>
      </w:r>
      <w:r>
        <w:rPr>
          <w:rFonts w:ascii="Times New Roman" w:hAnsi="Times New Roman"/>
          <w:sz w:val="20"/>
        </w:rPr>
        <w:t xml:space="preserve">. Neither the Company nor any of its subsidiaries nor, to the knowledge of the Company, any director, officer, agent, employee or other person associated with or acting on behalf of the Company or any of its subsidiaries has (i) used any corporate funds of the Company or any of its subsidiaries for any unlawful contribution, gift, entertainment or other unlawful expense relating to political activity; (ii) made any direct or indirect unlawful payment to any foreign or domestic government official or employee from corporate funds of the Company or any of its subsidiaries; (iii) violated or is in violation of any provision of the Foreign Corrupt Practices Act of 1977 relating to activities of the Company or any of its subsidiaries; or (iv) made any bribe, rebate, payoff, influence payment, kickback or other unlawful payment on behalf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Compliance with Money Laundering Laws</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hAnsi="Times New Roman"/>
          <w:sz w:val="20"/>
          <w:u w:val="single"/>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Compliance with OFAC</w:t>
      </w:r>
      <w:r>
        <w:rPr>
          <w:rFonts w:ascii="Times New Roman" w:hAnsi="Times New Roman"/>
          <w:sz w:val="20"/>
        </w:rPr>
        <w:t>. 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Cybersecurity.</w:t>
      </w:r>
      <w:r>
        <w:rPr>
          <w:rFonts w:ascii="Times New Roman" w:hAnsi="Times New Roman"/>
          <w:sz w:val="20"/>
        </w:rPr>
        <w:t xml:space="preserve"> Except as would not, individually or in the aggregate, reasonably be expected to have a Material Adverse Effect (i) to the knowledge of the Company,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or its subsidiaries), equipment or technology (collectively, </w:t>
      </w:r>
      <w:r>
        <w:rPr>
          <w:rFonts w:ascii="Times New Roman" w:hAnsi="Times New Roman"/>
          <w:sz w:val="20"/>
          <w:u w:val="single"/>
        </w:rPr>
        <w:t>IT Systems and Data</w:t>
      </w:r>
      <w:r>
        <w:rPr>
          <w:rFonts w:ascii="Times New Roman" w:hAnsi="Times New Roman"/>
          <w:sz w:val="20"/>
        </w:rPr>
        <w:t xml:space="preserve">); (ii) neither the Company nor any of its subsidiaries has been notified of, and has no knowledge of any event or condition that would result in, any security breach or incident, unauthorized access or disclosure or other compromise to their IT Systems and Data and (iii)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 officer of the Company and delivered to the Underwriters or to counsel for the Underwriters shall be deemed to be a representation and warranty by the Company to the Underwriters as to the matters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Covenants of the Company</w:t>
      </w:r>
      <w:r>
        <w:rPr>
          <w:rFonts w:ascii="Times New Roman" w:hAnsi="Times New Roman"/>
          <w:sz w:val="20"/>
        </w:rPr>
        <w:t xml:space="preserve">. The Company covenants and agrees with each Underwriter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Required Filings. </w:t>
      </w:r>
      <w:r>
        <w:rPr>
          <w:rFonts w:ascii="Times New Roman" w:hAnsi="Times New Roman"/>
          <w:sz w:val="20"/>
        </w:rPr>
        <w:t xml:space="preserve">The Company will file the Prospectus with the Commission within the time periods specified by Rule 424(b) and Rule 430A, 430B or 430C under the Securities Act, will file any Issuer Free Writing Prospectus (including the Term Sheet substantially in the form of </w:t>
      </w:r>
      <w:r>
        <w:rPr>
          <w:rFonts w:ascii="Times New Roman" w:hAnsi="Times New Roman"/>
          <w:sz w:val="20"/>
          <w:u w:val="single"/>
        </w:rPr>
        <w:t>Annex B</w:t>
      </w:r>
      <w:r>
        <w:rPr>
          <w:rFonts w:ascii="Times New Roman" w:hAnsi="Times New Roman"/>
          <w:sz w:val="20"/>
        </w:rPr>
        <w:t xml:space="preserve"> hereto) to the extent required by Rule 433 under the Securities Act; and will file promptly all reports and any definitive proxy or information statements required to be filed by the Company with the Commission pursuant to Section 13(a),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First Time of Delivery.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Delivery of Copies. </w:t>
      </w:r>
      <w:r>
        <w:rPr>
          <w:rFonts w:ascii="Times New Roman" w:hAnsi="Times New Roman"/>
          <w:sz w:val="20"/>
        </w:rPr>
        <w:t>The Company will deliver, without charge, (i) to the Representatives, two signed copies of the Registration Statement as originally filed and each amendment thereto, in each case including all exhibits and consents filed therewith;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each Issuer Free Writing Prospectus, in each case, as the Representatives may reasonably request. As used herein, the term </w:t>
      </w:r>
      <w:r>
        <w:rPr>
          <w:rFonts w:ascii="Times New Roman" w:hAnsi="Times New Roman"/>
          <w:sz w:val="20"/>
          <w:u w:val="single"/>
        </w:rPr>
        <w:t>Prospectus Delivery Period</w:t>
      </w:r>
      <w:r>
        <w:rPr>
          <w:rFonts w:ascii="Times New Roman" w:hAnsi="Times New Roman"/>
          <w:sz w:val="20"/>
        </w:rPr>
        <w:t xml:space="preserve">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Amendments or Supplements; Issuer Free Writing Prospectuses. </w:t>
      </w:r>
      <w:r>
        <w:rPr>
          <w:rFonts w:ascii="Times New Roman" w:hAnsi="Times New Roman"/>
          <w:sz w:val="20"/>
        </w:rPr>
        <w:t xml:space="preserve">Before making, preparing, using, authorizing, approving, referring to or filing any Issuer Free Writing Prospectus, and before filing any amendment or supplement to the Registration Statement or the Prospectus (except for documents that are incorporated by reference therein),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and promptly objects.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Notice to the Representatives. </w:t>
      </w:r>
      <w:r>
        <w:rPr>
          <w:rFonts w:ascii="Times New Roman" w:hAnsi="Times New Roman"/>
          <w:sz w:val="20"/>
        </w:rPr>
        <w:t xml:space="preserve">The Company will advise the Representatives promptly, and confirm such advice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obtain as soon as possible the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Time of Sale Information. </w:t>
      </w:r>
      <w:r>
        <w:rPr>
          <w:rFonts w:ascii="Times New Roman" w:hAnsi="Times New Roman"/>
          <w:sz w:val="20"/>
        </w:rPr>
        <w:t xml:space="preserve">If at any time prior to each Time of Delivery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be misleading or so that the Time of Sale Information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Ongoing Compliance</w:t>
      </w:r>
      <w:r>
        <w:rPr>
          <w:rFonts w:ascii="Times New Roman" w:hAnsi="Times New Roman"/>
          <w:sz w:val="20"/>
        </w:rPr>
        <w:t xml:space="preserve">.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Blue Sky Compliance. </w:t>
      </w:r>
      <w:r>
        <w:rPr>
          <w:rFonts w:ascii="Times New Roman" w:hAnsi="Times New Roman"/>
          <w:sz w:val="20"/>
        </w:rPr>
        <w:t xml:space="preserve">The Company will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Compliance with Securities Law</w:t>
      </w:r>
      <w:r>
        <w:rPr>
          <w:rFonts w:ascii="Times New Roman" w:hAnsi="Times New Roman"/>
          <w:sz w:val="20"/>
        </w:rPr>
        <w:t xml:space="preserve">. During the Prospectus Delivery Period, the Company will comply with all applicable securities and other laws, rules and regulations, including, without limitation, the Sarbanes-Oxley Act, and use its best efforts to cause the Companys directors and officers, in their capacities as such, to comply with such laws, rules and regulations, including, without limitation, the provisions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Earnings Statement</w:t>
      </w:r>
      <w:r>
        <w:rPr>
          <w:rFonts w:ascii="Times New Roman" w:hAnsi="Times New Roman"/>
          <w:sz w:val="20"/>
        </w:rPr>
        <w:t xml:space="preserve">. The Company will make generally available to its security holders and the Representatives as soon as practicable an earnings statement that satisfies the provisions of Section 11(a) of the Securities Act and Rule 158 under the Securities Act promulgated thereunder covering a period of at least twelve months beginning with the first fiscal quarter of the Company occurring after the effective date (as defined in Rule 158) of the Registration Statement, </w:t>
      </w:r>
      <w:r>
        <w:rPr>
          <w:rFonts w:ascii="Times New Roman" w:hAnsi="Times New Roman"/>
          <w:sz w:val="20"/>
          <w:u w:val="single"/>
        </w:rPr>
        <w:t>provided</w:t>
      </w:r>
      <w:r>
        <w:rPr>
          <w:rFonts w:ascii="Times New Roman" w:hAnsi="Times New Roman"/>
          <w:sz w:val="20"/>
        </w:rPr>
        <w:t xml:space="preserve"> that information filed with the Commission via EDGAR shall satisfy this requirement.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Clear Market. </w:t>
      </w:r>
      <w:r>
        <w:rPr>
          <w:rFonts w:ascii="Times New Roman" w:hAnsi="Times New Roman"/>
          <w:sz w:val="20"/>
        </w:rPr>
        <w:t xml:space="preserve">During the period from the date hereof through and including the First Time of Delivery, the Company will not, without the prior written consent of the Representatives, offer, sell, contract to sell or otherwise dispose of any debt securities issued or guaranteed by the Company and having a tenor of more than one year (it being understood by the parties hereto that the repurchase and retirement of any such debt securities during the period shall be permitted).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Use of Proceeds. </w:t>
      </w:r>
      <w:r>
        <w:rPr>
          <w:rFonts w:ascii="Times New Roman" w:hAnsi="Times New Roman"/>
          <w:sz w:val="20"/>
        </w:rPr>
        <w:t xml:space="preserve">The Company will apply the net proceeds from the sale of the Securities as described in the Registration Statement, the Time of Sale Information and the Prospectus under the heading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Investment Limitation</w:t>
      </w:r>
      <w:r>
        <w:rPr>
          <w:rFonts w:ascii="Times New Roman" w:hAnsi="Times New Roman"/>
          <w:sz w:val="20"/>
        </w:rPr>
        <w:t xml:space="preserve">. The Company shall not invest or otherwise use the proceeds received by the Company from its sale of the Securities in such a manner as would require the Company or any of its subsidiaries to register as an investment company under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No Price Stabilization or Manipulation. </w:t>
      </w:r>
      <w:r>
        <w:rPr>
          <w:rFonts w:ascii="Times New Roman" w:hAnsi="Times New Roman"/>
          <w:sz w:val="20"/>
        </w:rPr>
        <w:t xml:space="preserve">The Company will not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DTC</w:t>
      </w:r>
      <w:r>
        <w:rPr>
          <w:rFonts w:ascii="Times New Roman" w:hAnsi="Times New Roman"/>
          <w:sz w:val="20"/>
        </w:rPr>
        <w:t xml:space="preserve">. The Company will cooperate with the Representatives and use its best efforts to permit the Securities to be eligible for clearance and settlement through DTC.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Listing</w:t>
      </w:r>
      <w:r>
        <w:rPr>
          <w:rFonts w:ascii="Times New Roman" w:hAnsi="Times New Roman"/>
          <w:sz w:val="20"/>
        </w:rPr>
        <w:t xml:space="preserve">. The Company will use its reasonable best efforts to effect the listing of the Securities as specified in the Prospectus within 30 calendar days of the First Time of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(a) It has not used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w:t>
      </w:r>
      <w:r>
        <w:rPr>
          <w:rFonts w:ascii="Times New Roman" w:hAnsi="Times New Roman"/>
          <w:sz w:val="20"/>
          <w:u w:val="single"/>
        </w:rPr>
        <w:t>Annex A</w:t>
      </w:r>
      <w:r>
        <w:rPr>
          <w:rFonts w:ascii="Times New Roman" w:hAnsi="Times New Roman"/>
          <w:sz w:val="20"/>
        </w:rPr>
        <w:t xml:space="preserve">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 w:hAnsi="Times New Roman"/>
          <w:sz w:val="20"/>
          <w:u w:val="single"/>
        </w:rPr>
        <w:t>Underwriter Free Writing Prospectus</w:t>
      </w:r>
      <w:r>
        <w:rPr>
          <w:rFonts w:ascii="Times New Roman" w:hAnsi="Times New Roman"/>
          <w:sz w:val="20"/>
        </w:rPr>
        <w:t xml:space="preserve">). Notwithstanding the foregoing, the Underwriters may use a term sheet substantially in the form of </w:t>
      </w:r>
      <w:r>
        <w:rPr>
          <w:rFonts w:ascii="Times New Roman" w:hAnsi="Times New Roman"/>
          <w:sz w:val="20"/>
          <w:u w:val="single"/>
        </w:rPr>
        <w:t>Annex B</w:t>
      </w:r>
      <w:r>
        <w:rPr>
          <w:rFonts w:ascii="Times New Roman" w:hAnsi="Times New Roman"/>
          <w:sz w:val="20"/>
        </w:rPr>
        <w:t xml:space="preserve"> hereto without the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It is not subject to any pending proceeding under Section 8A of the Securities Act with respect to the offering (and will promptly notify the Company if any such proceeding against it is initiated during the Prospectus Delivery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Securities at each Time of Delivery as provided herein is subject to the performance by the Company of its covenants and other obligations hereunder and to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Registration Compliance; No Stop Order. </w:t>
      </w:r>
      <w:r>
        <w:rPr>
          <w:rFonts w:ascii="Times New Roman" w:hAnsi="Times New Roman"/>
          <w:sz w:val="20"/>
        </w:rPr>
        <w:t xml:space="preserve">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Accountants Comfort Letter. </w:t>
      </w:r>
      <w:r>
        <w:rPr>
          <w:rFonts w:ascii="Times New Roman" w:hAnsi="Times New Roman"/>
          <w:sz w:val="20"/>
        </w:rPr>
        <w:t xml:space="preserve">On the date of this Agreement and at each Time of Delivery, the Representatives shall have received from PricewaterhouseCoopers LLP, independent public accountants for the Company, a letter dated the date of this Agreement or such Time of Delivery, addressed to the Representatives, in form and substance reasonably satisfactory to the Representatives and PricewaterhouseCoopers LLP.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Material Adverse Effect or Ratings Agency Change</w:t>
      </w:r>
      <w:r>
        <w:rPr>
          <w:rFonts w:ascii="Times New Roman" w:hAnsi="Times New Roman"/>
          <w:sz w:val="20"/>
        </w:rPr>
        <w:t xml:space="preserve">. For the period from and after the date of this Agreement and prior to applicable Time of Delivery: </w:t>
      </w:r>
    </w:p>
    <w:p>
      <w:pPr>
        <w:pStyle w:val="TextBody"/>
        <w:bidi w:val="0"/>
        <w:spacing w:before="120" w:after="0"/>
        <w:jc w:val="left"/>
        <w:rPr>
          <w:rFonts w:ascii="Times New Roman" w:hAnsi="Times New Roman"/>
          <w:sz w:val="20"/>
        </w:rPr>
      </w:pPr>
      <w:r>
        <w:rPr>
          <w:rFonts w:ascii="Times New Roman" w:hAnsi="Times New Roman"/>
          <w:sz w:val="20"/>
        </w:rPr>
        <w:t xml:space="preserve">(i) in the judgment of the Representatives there shall not have occurred 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been any change or decrease specified in the letter or letters referred to in paragraph (b) of this Section 6 which is, in the sole judgment of the Representatives, so material and adverse as to make it impractical or inadvisable to proceed with the offering or delivery of the Securities as contemplated by the Registration Statement, the Time of Sale Information and the Prospectus;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Opinion of Counsel for the Company</w:t>
      </w:r>
      <w:r>
        <w:rPr>
          <w:rFonts w:ascii="Times New Roman" w:hAnsi="Times New Roman"/>
          <w:sz w:val="20"/>
        </w:rPr>
        <w:t xml:space="preserve">. At each Time of Delivery, the Representatives shall have received the favorable opinion of Skadden, Arps, Slate, Meagher &amp; Flom LLP, counsel for the Company, dated as of such Time of Delivery, in form and substance reasonably satisfactory to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Opinion of Counsel for the Underwriters</w:t>
      </w:r>
      <w:r>
        <w:rPr>
          <w:rFonts w:ascii="Times New Roman" w:hAnsi="Times New Roman"/>
          <w:sz w:val="20"/>
        </w:rPr>
        <w:t xml:space="preserve">. At each Time of Delivery, the Representatives shall have received the favorable opinion of Sidley Austin LLP, counsel for the Underwriters, dated as of such Time of Delivery, in form and substance reasonably satisfactory to the Representatives; and the Company shall have furnished to such counsel such documents as they request for the purpose of enabling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Officers Certificate</w:t>
      </w:r>
      <w:r>
        <w:rPr>
          <w:rFonts w:ascii="Times New Roman" w:hAnsi="Times New Roman"/>
          <w:sz w:val="20"/>
        </w:rPr>
        <w:t xml:space="preserve">. At each Time of Delivery, the Representatives shall have received a written certificate executed by any two of an Executive or Senior Vice President or Managing Director, the Managing Director, Chief Corporate Counsel and Corporate Secretary, the Chief Administrative Officer and the Chief Financial Officer, dated as of such Time of Delivery, to the effect that the signers of such certificate have carefully examined the Registration Statement, the Time of Sale Information, the Prospectus, any amendments or supplements thereto and this Agreement, to the effect set forth in subsection (c)(iii) of this Section 6, and further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(i) for the period from and after the date of this Agreement and prior to such Time of Delivery, there has not occurred 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the representations and warranties of the Company set forth in Section 3 of this Agreement are true and correct on and as of such Time of Delivery, with the same force and effect as though expressly made on and as of such Time of Delivery; and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has complied with all the agreements hereunder and satisfied all the conditions on its part to be performed or satisfied hereunder at or prior to such Time of Delivery.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Additional Documents</w:t>
      </w:r>
      <w:r>
        <w:rPr>
          <w:rFonts w:ascii="Times New Roman" w:hAnsi="Times New Roman"/>
          <w:sz w:val="20"/>
        </w:rPr>
        <w:t xml:space="preserve">. On or before each Time of Delivery, the Representatives and counsel for the Representatives shall have received such information, documents and opinions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Indemnification of the Underwriters. </w:t>
      </w:r>
      <w:r>
        <w:rPr>
          <w:rFonts w:ascii="Times New Roman" w:hAnsi="Times New Roman"/>
          <w:sz w:val="20"/>
        </w:rPr>
        <w:t xml:space="preserve">The Company agrees to indemnify and hold harmless each Underwriter, its affiliates, directors, officers and selling agents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Indemnification of the Company. </w:t>
      </w:r>
      <w:r>
        <w:rPr>
          <w:rFonts w:ascii="Times New Roman" w:hAnsi="Times New Roman"/>
          <w:sz w:val="20"/>
        </w:rPr>
        <w:t>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The Company hereby acknowledges that the only information furnished to the Company by any Underwriter through the Representatives expressly for use in the Registration Statement, the Prospectus (or any amendment or supplement thereto), any Issuer Free Writing Prospectus or any Time of Sale Information are the statements set forth in the last paragraph of text on the cover page of the Preliminary Prospectus and the Prospectus regarding delivery of the Securities and the eighth paragraph, the fourth sentence of the tenth paragraph, the eleventh paragraph and the second sentence in the twelfth paragraph under Underwriting (Conflicts of Interest) in the Preliminary Prospectus and in the Prospectus (the </w:t>
      </w:r>
      <w:r>
        <w:rPr>
          <w:rFonts w:ascii="Times New Roman" w:hAnsi="Times New Roman"/>
          <w:sz w:val="20"/>
          <w:u w:val="single"/>
        </w:rPr>
        <w:t>Underwriter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Notice and Procedures. </w:t>
      </w:r>
      <w:r>
        <w:rPr>
          <w:rFonts w:ascii="Times New Roman" w:hAnsi="Times New Roman"/>
          <w:sz w:val="20"/>
        </w:rPr>
        <w:t>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 w:hAnsi="Times New Roman"/>
          <w:sz w:val="20"/>
          <w:u w:val="single"/>
        </w:rPr>
        <w:t>Indemnified Person</w:t>
      </w:r>
      <w:r>
        <w:rPr>
          <w:rFonts w:ascii="Times New Roman" w:hAnsi="Times New Roman"/>
          <w:sz w:val="20"/>
        </w:rPr>
        <w:t>) shall promptly notify the person against whom such indemnification may be sought (the </w:t>
      </w:r>
      <w:r>
        <w:rPr>
          <w:rFonts w:ascii="Times New Roman" w:hAnsi="Times New Roman"/>
          <w:sz w:val="20"/>
          <w:u w:val="single"/>
        </w:rPr>
        <w:t>Indemnifying Person</w:t>
      </w:r>
      <w:r>
        <w:rPr>
          <w:rFonts w:ascii="Times New Roman" w:hAnsi="Times New Roman"/>
          <w:sz w:val="20"/>
        </w:rPr>
        <w:t xml:space="preserve">)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this Section 7 except to the extent that it has been materially prejudiced (through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Party may designate in such proceeding and shall pay the fees and expenses of such proceeding and shall pay the reasonable fees and expenses of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fees and expenses shall be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Contribution. </w:t>
      </w:r>
      <w:r>
        <w:rPr>
          <w:rFonts w:ascii="Times New Roman" w:hAnsi="Times New Roman"/>
          <w:sz w:val="20"/>
        </w:rPr>
        <w:t xml:space="preserve">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Limitation on Liability. </w:t>
      </w:r>
      <w:r>
        <w:rPr>
          <w:rFonts w:ascii="Times New Roman" w:hAnsi="Times New Roman"/>
          <w:sz w:val="20"/>
        </w:rPr>
        <w:t xml:space="preserve">The Company and the Underwriters agree that it would not be just and equitable if contribution pursuant to this Section 7 were determined by </w:t>
      </w:r>
      <w:r>
        <w:rPr>
          <w:rFonts w:ascii="Times New Roman" w:hAnsi="Times New Roman"/>
          <w:i/>
          <w:sz w:val="20"/>
        </w:rPr>
        <w:t>pro</w:t>
      </w:r>
      <w:r>
        <w:rPr>
          <w:rFonts w:ascii="Times New Roman" w:hAnsi="Times New Roman"/>
          <w:sz w:val="20"/>
        </w:rPr>
        <w:t> </w:t>
      </w:r>
      <w:r>
        <w:rPr>
          <w:rFonts w:ascii="Times New Roman" w:hAnsi="Times New Roman"/>
          <w:i/>
          <w:sz w:val="20"/>
        </w:rPr>
        <w:t>rata</w:t>
      </w:r>
      <w:r>
        <w:rPr>
          <w:rFonts w:ascii="Times New Roman" w:hAnsi="Times New Roman"/>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Non-Exclusive Remedies. </w:t>
      </w:r>
      <w:r>
        <w:rPr>
          <w:rFonts w:ascii="Times New Roman" w:hAnsi="Times New Roman"/>
          <w:sz w:val="20"/>
        </w:rPr>
        <w:t xml:space="preserve">The remedies provided for in this Section 7 are not exclusive and shall not limit any rights or remedies which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Effectiveness of Agreement</w:t>
      </w:r>
      <w:r>
        <w:rPr>
          <w:rFonts w:ascii="Times New Roman" w:hAnsi="Times New Roman"/>
          <w:sz w:val="20"/>
        </w:rPr>
        <w:t xml:space="preserve">. This Agreement shall become effective upon the execution and delivery hereof by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Termination</w:t>
      </w:r>
      <w:r>
        <w:rPr>
          <w:rFonts w:ascii="Times New Roman" w:hAnsi="Times New Roman"/>
          <w:sz w:val="20"/>
        </w:rPr>
        <w:t xml:space="preserve">. Prior to the applicable Time of Delivery, this Agreement may be terminated by the Underwriters by notice given to the Company if at any time (i) trading or quotation in any of the Companys securities shall have been suspended or limited by the Commission or by the New York Stock Exchange, (ii) trading in securities generally on the New York Stock Exchange shall have been suspended or limited, or minimum or maximum prices shall have been generally established by the Commission or FINRA or on either such stock exchange; (iii) a general banking moratorium shall have been declared by federal or New York authorities or a material disruption in commercial banking or securities settlement or clearance services in the United States has occurred; or (iv) there shall have occurred any outbreak or escalation of national or international hostilities or declaration of a national emergency or war by the United States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Underwriters is material and adverse and makes it impracticable or inadvisable to market the Securities in the manner and on the terms described in the Registration Statement, the Time of Sale Information and the Prospectus or to enforce contracts for the sale of securities. Any termination pursuant to this Section 9 shall be without liability on the part of (a) the Company to the Underwriters, except that the Company shall be obligated to reimburse the expenses of the Underwriters as provided in Section 11(b) hereof or (b) the Underwriters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Defaulting Underwriter</w:t>
      </w:r>
      <w:r>
        <w:rPr>
          <w:rFonts w:ascii="Times New Roman" w:hAnsi="Times New Roman"/>
          <w:sz w:val="20"/>
        </w:rPr>
        <w:t xml:space="preserve">. (a) If, at any Time of Delivery,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such Time of Delivery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Underwriters includes, for all purposes of this Agreement unless the context otherwise requires, any person not listed in Schedule I hereto that, pursuant to this Section 10, purchases Securities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 w:hAnsi="Times New Roman"/>
          <w:i/>
          <w:sz w:val="20"/>
        </w:rPr>
        <w:t>pro</w:t>
      </w:r>
      <w:r>
        <w:rPr>
          <w:rFonts w:ascii="Times New Roman" w:hAnsi="Times New Roman"/>
          <w:sz w:val="20"/>
        </w:rPr>
        <w:t> </w:t>
      </w:r>
      <w:r>
        <w:rPr>
          <w:rFonts w:ascii="Times New Roman" w:hAnsi="Times New Roman"/>
          <w:i/>
          <w:sz w:val="20"/>
        </w:rPr>
        <w:t>rata</w:t>
      </w:r>
      <w:r>
        <w:rPr>
          <w:rFonts w:ascii="Times New Roman" w:hAnsi="Times New Roman"/>
          <w:sz w:val="20"/>
        </w:rPr>
        <w:t xml:space="preserve"> share (based on the principal amount of Securities that such Underwriter agreed to purchase hereunder) of the Securities of such defaulting Underwriter or Underwriters for which such arrangements have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with respect to the Securities (or, with respect to any Second Time of Delivery, the obligations of the Underwriters to purchase and of the Company to sell the Optional Securities)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Payment of Expenses</w:t>
      </w:r>
      <w:r>
        <w:rPr>
          <w:rFonts w:ascii="Times New Roman" w:hAnsi="Times New Roman"/>
          <w:i/>
          <w:sz w:val="20"/>
        </w:rPr>
        <w:t xml:space="preserve">. </w:t>
      </w: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in an amount not to exceed $15,000);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(ix) the fees and expenses incurred in connection with the listing of the Securities and (x) all expenses incurred by the Company in connection with any road show presentation to potential investors.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9(i), (ii) the Company for any reason not permitted by this Agreement fails to tender the Securities for delivery to the Underwriters or (iii) the Underwriters decline to purchase the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Certain Defined Terms</w:t>
      </w:r>
      <w:r>
        <w:rPr>
          <w:rFonts w:ascii="Times New Roman" w:hAnsi="Times New Roman"/>
          <w:sz w:val="20"/>
        </w:rPr>
        <w:t>. For purposes of this Agreement, (a) except where otherwise expressly provided, the term </w:t>
      </w:r>
      <w:r>
        <w:rPr>
          <w:rFonts w:ascii="Times New Roman" w:hAnsi="Times New Roman"/>
          <w:sz w:val="20"/>
          <w:u w:val="single"/>
        </w:rPr>
        <w:t>affiliate</w:t>
      </w:r>
      <w:r>
        <w:rPr>
          <w:rFonts w:ascii="Times New Roman" w:hAnsi="Times New Roman"/>
          <w:sz w:val="20"/>
        </w:rPr>
        <w:t> has the meaning set forth in Rule 405 under the Securities Act; (b) the term </w:t>
      </w:r>
      <w:r>
        <w:rPr>
          <w:rFonts w:ascii="Times New Roman" w:hAnsi="Times New Roman"/>
          <w:sz w:val="20"/>
          <w:u w:val="single"/>
        </w:rPr>
        <w:t>business day</w:t>
      </w:r>
      <w:r>
        <w:rPr>
          <w:rFonts w:ascii="Times New Roman" w:hAnsi="Times New Roman"/>
          <w:sz w:val="20"/>
        </w:rPr>
        <w:t> means any day other than a day on which banks are permitted or required to be closed in New York City; and (c) the term </w:t>
      </w:r>
      <w:r>
        <w:rPr>
          <w:rFonts w:ascii="Times New Roman" w:hAnsi="Times New Roman"/>
          <w:sz w:val="20"/>
          <w:u w:val="single"/>
        </w:rPr>
        <w:t>subsidiary</w:t>
      </w:r>
      <w:r>
        <w:rPr>
          <w:rFonts w:ascii="Times New Roman" w:hAnsi="Times New Roman"/>
          <w:sz w:val="20"/>
        </w:rPr>
        <w:t xml:space="preserve"> has the meaning set forth in Rule 405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15: (a)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Miscellaneous</w:t>
      </w:r>
      <w:r>
        <w:rPr>
          <w:rFonts w:ascii="Times New Roman" w:hAnsi="Times New Roman"/>
          <w:sz w:val="20"/>
        </w:rPr>
        <w:t>. (a) </w:t>
      </w:r>
      <w:r>
        <w:rPr>
          <w:rFonts w:ascii="Times New Roman" w:hAnsi="Times New Roman"/>
          <w:i/>
          <w:sz w:val="20"/>
        </w:rPr>
        <w:t xml:space="preserve">Authority of the Representatives. </w:t>
      </w:r>
      <w:r>
        <w:rPr>
          <w:rFonts w:ascii="Times New Roman" w:hAnsi="Times New Roman"/>
          <w:sz w:val="20"/>
        </w:rPr>
        <w:t xml:space="preserve">Any action by the Underwriters hereunder may be taken by BofA Securities, Inc., Morgan Stanley &amp; Co. LLC and Wells Fargo Securities, LLC on behalf of the Underwriters, and any such action taken by BofA Securities, Inc., Morgan Stanley &amp; Co. LLC, RBC Capital Markets, LLC and Wells Fargo Securities, LLC shall be binding upon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Notices. </w:t>
      </w:r>
      <w:r>
        <w:rPr>
          <w:rFonts w:ascii="Times New Roman" w:hAnsi="Times New Roman"/>
          <w:sz w:val="20"/>
        </w:rPr>
        <w:t xml:space="preserve">All notices and other communications hereunder shall be in writing and shall be deemed to have been duly given if mailed or transmitted and confirmed by any standard form of telecommunication. Notices to the Underwriters shall be given to the Representatives c/o (a) BofA Securities, Inc., 114 West 47th Street, NY8-114-07-01 New York, New York 10036, Attention: High Grade Debt Capital Markets Transaction Management/Legal, Fax: (212) 901-7881, Email: dg.hg_ua_notices@bofa.com; (b) Morgan Stanley &amp; Co. LLC, 1585 Broadway, 29th Floor, New York, New York, Attention: Investment Banking Division, Tel: (212)-761-6691, Fax: (212) 507-8999; (c) RBC Capital Markets, LLC, Brookfield Place, 200 Vesey Street, 8th Floor, New York, New York 10281, Telephone: (212) 618-7706, Email: TMGUS@rbccm.com, Attention: DCM Transaction Management/Scott Primrose; (d) Wells Fargo Securities, LLC, 550 South Tryon Street, 5th Floor, Charlotte, North Carolina 28202, Attention: Transaction Management, Email: tmgcapitalmarkets@wellsfargo.com; and (e) Notices to the Company shall be given to it at 600 Hale Street, P.O. Box 1000, Prides Crossing, Massachusetts 01965 (fax: (617) 747-3380), Attention: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Waiver of Jury Trial</w:t>
      </w:r>
      <w:r>
        <w:rPr>
          <w:rFonts w:ascii="Times New Roman" w:hAnsi="Times New Roman"/>
          <w:sz w:val="20"/>
        </w:rPr>
        <w:t xml:space="preserve">. THE PARTIES HEREBY IRREVOCABLY WAIVE,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Governing Law. </w:t>
      </w:r>
      <w:r>
        <w:rPr>
          <w:rFonts w:ascii="Times New Roman" w:hAnsi="Times New Roman"/>
          <w:sz w:val="20"/>
        </w:rPr>
        <w:t xml:space="preserve">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Counterparts. </w:t>
      </w:r>
      <w:r>
        <w:rPr>
          <w:rFonts w:ascii="Times New Roman" w:hAnsi="Times New Roman"/>
          <w:sz w:val="20"/>
        </w:rPr>
        <w:t xml:space="preserve">This Agreement may be executed by any one or more of the parties hereto and thereto in any number of counterparts, each of which shall be deemed to be an original, but all such respective counterparts shall together constitute one and the same instrument. This Agreement may be signed by the parties in one or more counterparts which together shall constitute one and the same agreement among the parties. The words execution, signed, signature, and words of like import in this Agreement or in any other certificate, agreement or document related to this Agreement shall include images of manually executed signatures transmitted by facsimile or other electronic format (including, without limitation, pdf, tif or jpg) and other electronic signatures.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(N.Y. State Tech. §§ 301-309) and any other applicable law, including, without limitation, any state law based on the Uniform Electronic Transactions Act or the Uniform Commercial Code. Transmission by telecopy, electronic mail or other transmission method of an executed counterpart of this Agreement will constitute due and sufficient delivery of such counterpart.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Amendments or Waivers. </w:t>
      </w:r>
      <w:r>
        <w:rPr>
          <w:rFonts w:ascii="Times New Roman" w:hAnsi="Times New Roman"/>
          <w:sz w:val="20"/>
        </w:rPr>
        <w:t xml:space="preserve">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Headings. </w:t>
      </w:r>
      <w:r>
        <w:rPr>
          <w:rFonts w:ascii="Times New Roman" w:hAnsi="Times New Roman"/>
          <w:sz w:val="20"/>
        </w:rPr>
        <w:t xml:space="preserve">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4"/>
        <w:gridCol w:w="62"/>
        <w:gridCol w:w="3566"/>
      </w:tblGrid>
      <w:tr>
        <w:trPr/>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AFFILIATED MANAGERS GROUP, INC.</w:t>
            </w:r>
          </w:p>
        </w:tc>
      </w:tr>
      <w:tr>
        <w:trPr>
          <w:trHeight w:val="240" w:hRule="atLeast"/>
        </w:trPr>
        <w:tc>
          <w:tcPr>
            <w:tcW w:w="454" w:type="dxa"/>
            <w:tcBorders/>
            <w:vAlign w:val="center"/>
          </w:tcPr>
          <w:p>
            <w:pPr>
              <w:pStyle w:val="TableContents"/>
              <w:bidi w:val="0"/>
              <w:spacing w:before="0" w:after="283"/>
              <w:jc w:val="left"/>
              <w:rPr>
                <w:sz w:val="4"/>
                <w:szCs w:val="4"/>
              </w:rPr>
            </w:pPr>
            <w:r>
              <w:rPr>
                <w:sz w:val="4"/>
                <w:szCs w:val="4"/>
              </w:rPr>
            </w:r>
          </w:p>
        </w:tc>
        <w:tc>
          <w:tcPr>
            <w:tcW w:w="3628" w:type="dxa"/>
            <w:gridSpan w:val="2"/>
            <w:tcBorders/>
            <w:vAlign w:val="center"/>
          </w:tcPr>
          <w:p>
            <w:pPr>
              <w:pStyle w:val="TableContents"/>
              <w:bidi w:val="0"/>
              <w:spacing w:before="0" w:after="283"/>
              <w:jc w:val="left"/>
              <w:rPr>
                <w:sz w:val="4"/>
                <w:szCs w:val="4"/>
              </w:rPr>
            </w:pPr>
            <w:r>
              <w:rPr>
                <w:sz w:val="4"/>
                <w:szCs w:val="4"/>
              </w:rPr>
            </w:r>
          </w:p>
        </w:tc>
      </w:tr>
      <w:tr>
        <w:trPr/>
        <w:tc>
          <w:tcPr>
            <w:tcW w:w="454"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56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Kavita Padiyar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 Kavita Padiyar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 Managing Director, Chief Corporate Counsel, and Corporate Secretary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Accepted and agreed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on behalf of each of the several Underwriters named in 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35"/>
        <w:gridCol w:w="60"/>
        <w:gridCol w:w="3687"/>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BOFA SECURITIES, INC.</w:t>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374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Randolph Randolph</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bidi w:val="0"/>
              <w:spacing w:before="0" w:after="283"/>
              <w:jc w:val="left"/>
              <w:rPr/>
            </w:pPr>
            <w:r>
              <w:rPr/>
              <w:t>Name: Randolph Randolph</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Accepted and agreed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on behalf of each of the several Underwriters named in 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33"/>
        <w:gridCol w:w="60"/>
        <w:gridCol w:w="3689"/>
      </w:tblGrid>
      <w:tr>
        <w:trPr/>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MORGAN STANLEY &amp; CO. LLC</w:t>
            </w:r>
          </w:p>
        </w:tc>
      </w:tr>
      <w:tr>
        <w:trPr>
          <w:trHeight w:val="240" w:hRule="atLeast"/>
        </w:trPr>
        <w:tc>
          <w:tcPr>
            <w:tcW w:w="333" w:type="dxa"/>
            <w:tcBorders/>
            <w:vAlign w:val="center"/>
          </w:tcPr>
          <w:p>
            <w:pPr>
              <w:pStyle w:val="TableContents"/>
              <w:bidi w:val="0"/>
              <w:spacing w:before="0" w:after="283"/>
              <w:jc w:val="left"/>
              <w:rPr>
                <w:sz w:val="4"/>
                <w:szCs w:val="4"/>
              </w:rPr>
            </w:pPr>
            <w:r>
              <w:rPr>
                <w:sz w:val="4"/>
                <w:szCs w:val="4"/>
              </w:rPr>
            </w:r>
          </w:p>
        </w:tc>
        <w:tc>
          <w:tcPr>
            <w:tcW w:w="3749" w:type="dxa"/>
            <w:gridSpan w:val="2"/>
            <w:tcBorders/>
            <w:vAlign w:val="center"/>
          </w:tcPr>
          <w:p>
            <w:pPr>
              <w:pStyle w:val="TableContents"/>
              <w:bidi w:val="0"/>
              <w:spacing w:before="0" w:after="283"/>
              <w:jc w:val="left"/>
              <w:rPr>
                <w:sz w:val="4"/>
                <w:szCs w:val="4"/>
              </w:rPr>
            </w:pPr>
            <w:r>
              <w:rPr>
                <w:sz w:val="4"/>
                <w:szCs w:val="4"/>
              </w:rPr>
            </w:r>
          </w:p>
        </w:tc>
      </w:tr>
      <w:tr>
        <w:trPr/>
        <w:tc>
          <w:tcPr>
            <w:tcW w:w="33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Hector Vazquez</w:t>
            </w:r>
          </w:p>
        </w:tc>
      </w:tr>
      <w:tr>
        <w:trPr/>
        <w:tc>
          <w:tcPr>
            <w:tcW w:w="33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9" w:type="dxa"/>
            <w:tcBorders/>
          </w:tcPr>
          <w:p>
            <w:pPr>
              <w:pStyle w:val="TableContents"/>
              <w:bidi w:val="0"/>
              <w:spacing w:before="0" w:after="283"/>
              <w:jc w:val="left"/>
              <w:rPr/>
            </w:pPr>
            <w:r>
              <w:rPr/>
              <w:t>Name: Hector Vazquez</w:t>
            </w:r>
          </w:p>
        </w:tc>
      </w:tr>
      <w:tr>
        <w:trPr/>
        <w:tc>
          <w:tcPr>
            <w:tcW w:w="33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9" w:type="dxa"/>
            <w:tcBorders/>
          </w:tcPr>
          <w:p>
            <w:pPr>
              <w:pStyle w:val="TableContents"/>
              <w:bidi w:val="0"/>
              <w:spacing w:before="0" w:after="283"/>
              <w:jc w:val="left"/>
              <w:rPr/>
            </w:pPr>
            <w:r>
              <w:rPr/>
              <w:t>Title: Executive Director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Accepted and agreed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on behalf of each of the several Underwriters named in 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42"/>
        <w:gridCol w:w="61"/>
        <w:gridCol w:w="3679"/>
      </w:tblGrid>
      <w:tr>
        <w:trPr/>
        <w:tc>
          <w:tcPr>
            <w:tcW w:w="34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RBC CAPITAL MARKETS, LLC</w:t>
            </w:r>
          </w:p>
        </w:tc>
      </w:tr>
      <w:tr>
        <w:trPr>
          <w:trHeight w:val="240" w:hRule="atLeast"/>
        </w:trPr>
        <w:tc>
          <w:tcPr>
            <w:tcW w:w="342" w:type="dxa"/>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4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7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G. Primrose</w:t>
            </w:r>
          </w:p>
        </w:tc>
      </w:tr>
      <w:tr>
        <w:trPr/>
        <w:tc>
          <w:tcPr>
            <w:tcW w:w="34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pPr>
            <w:r>
              <w:rPr/>
              <w:t>Name: Scott G. Primrose</w:t>
            </w:r>
          </w:p>
        </w:tc>
      </w:tr>
      <w:tr>
        <w:trPr/>
        <w:tc>
          <w:tcPr>
            <w:tcW w:w="34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pPr>
            <w:r>
              <w:rPr/>
              <w:t>Title: Authorized Signatory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Accepted and agreed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Wells Fargo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For themselves and on behalf of each of the several Underwriters named in Schedule I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35"/>
        <w:gridCol w:w="60"/>
        <w:gridCol w:w="3687"/>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WELLS FARGO SECURITIES, LLC</w:t>
            </w:r>
          </w:p>
        </w:tc>
      </w:tr>
      <w:tr>
        <w:trPr>
          <w:trHeight w:val="240" w:hRule="atLeast"/>
        </w:trPr>
        <w:tc>
          <w:tcPr>
            <w:tcW w:w="335" w:type="dxa"/>
            <w:tcBorders/>
            <w:vAlign w:val="center"/>
          </w:tcPr>
          <w:p>
            <w:pPr>
              <w:pStyle w:val="TableContents"/>
              <w:bidi w:val="0"/>
              <w:spacing w:before="0" w:after="283"/>
              <w:jc w:val="left"/>
              <w:rPr>
                <w:sz w:val="4"/>
                <w:szCs w:val="4"/>
              </w:rPr>
            </w:pPr>
            <w:r>
              <w:rPr>
                <w:sz w:val="4"/>
                <w:szCs w:val="4"/>
              </w:rPr>
            </w:r>
          </w:p>
        </w:tc>
        <w:tc>
          <w:tcPr>
            <w:tcW w:w="3747" w:type="dxa"/>
            <w:gridSpan w:val="2"/>
            <w:tcBorders/>
            <w:vAlign w:val="center"/>
          </w:tcPr>
          <w:p>
            <w:pPr>
              <w:pStyle w:val="TableContents"/>
              <w:bidi w:val="0"/>
              <w:spacing w:before="0" w:after="283"/>
              <w:jc w:val="left"/>
              <w:rPr>
                <w:sz w:val="4"/>
                <w:szCs w:val="4"/>
              </w:rPr>
            </w:pPr>
            <w:r>
              <w:rPr>
                <w:sz w:val="4"/>
                <w:szCs w:val="4"/>
              </w:rPr>
            </w:r>
          </w:p>
        </w:tc>
      </w:tr>
      <w:tr>
        <w:trPr/>
        <w:tc>
          <w:tcPr>
            <w:tcW w:w="33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Lucas Werner</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bidi w:val="0"/>
              <w:spacing w:before="0" w:after="283"/>
              <w:jc w:val="left"/>
              <w:rPr/>
            </w:pPr>
            <w:r>
              <w:rPr/>
              <w:t>Name: Lucas Werner</w:t>
            </w:r>
          </w:p>
        </w:tc>
      </w:tr>
      <w:tr>
        <w:trPr/>
        <w:tc>
          <w:tcPr>
            <w:tcW w:w="33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7"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17"/>
        <w:gridCol w:w="280"/>
        <w:gridCol w:w="190"/>
        <w:gridCol w:w="1660"/>
        <w:gridCol w:w="60"/>
        <w:gridCol w:w="280"/>
        <w:gridCol w:w="208"/>
        <w:gridCol w:w="1646"/>
        <w:gridCol w:w="64"/>
      </w:tblGrid>
      <w:tr>
        <w:trPr/>
        <w:tc>
          <w:tcPr>
            <w:tcW w:w="5817"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80"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br/>
              <w:t>of Firm</w:t>
            </w:r>
            <w:r>
              <w:rPr/>
              <w:br/>
            </w:r>
            <w:r>
              <w:rPr>
                <w:b/>
              </w:rPr>
              <w:t>Securities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854"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br/>
              <w:t>of Optional</w:t>
            </w:r>
            <w:r>
              <w:rPr/>
              <w:br/>
            </w:r>
            <w:r>
              <w:rPr>
                <w:b/>
              </w:rPr>
              <w:t>Securities</w:t>
            </w:r>
          </w:p>
        </w:tc>
        <w:tc>
          <w:tcPr>
            <w:tcW w:w="64" w:type="dxa"/>
            <w:tcBorders/>
            <w:vAlign w:val="bottom"/>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88,000,000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646" w:type="dxa"/>
            <w:tcBorders/>
            <w:shd w:fill="CCEEFF" w:val="clear"/>
            <w:vAlign w:val="bottom"/>
          </w:tcPr>
          <w:p>
            <w:pPr>
              <w:pStyle w:val="TableContents"/>
              <w:bidi w:val="0"/>
              <w:spacing w:before="0" w:after="283"/>
              <w:jc w:val="right"/>
              <w:rPr/>
            </w:pPr>
            <w:r>
              <w:rPr/>
              <w:t>11,000,000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88,000,000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646" w:type="dxa"/>
            <w:tcBorders/>
            <w:vAlign w:val="bottom"/>
          </w:tcPr>
          <w:p>
            <w:pPr>
              <w:pStyle w:val="TableContents"/>
              <w:bidi w:val="0"/>
              <w:spacing w:before="0" w:after="283"/>
              <w:jc w:val="right"/>
              <w:rPr/>
            </w:pPr>
            <w:r>
              <w:rPr/>
              <w:t>11,000,000</w:t>
            </w:r>
          </w:p>
        </w:tc>
        <w:tc>
          <w:tcPr>
            <w:tcW w:w="64" w:type="dxa"/>
            <w:tcBorders/>
            <w:vAlign w:val="bottom"/>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88,000,000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646" w:type="dxa"/>
            <w:tcBorders/>
            <w:shd w:fill="CCEEFF" w:val="clear"/>
            <w:vAlign w:val="bottom"/>
          </w:tcPr>
          <w:p>
            <w:pPr>
              <w:pStyle w:val="TableContents"/>
              <w:bidi w:val="0"/>
              <w:spacing w:before="0" w:after="283"/>
              <w:jc w:val="right"/>
              <w:rPr/>
            </w:pPr>
            <w:r>
              <w:rPr/>
              <w:t>11,000,000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88,000,000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646" w:type="dxa"/>
            <w:tcBorders/>
            <w:vAlign w:val="bottom"/>
          </w:tcPr>
          <w:p>
            <w:pPr>
              <w:pStyle w:val="TableContents"/>
              <w:bidi w:val="0"/>
              <w:spacing w:before="0" w:after="283"/>
              <w:jc w:val="right"/>
              <w:rPr/>
            </w:pPr>
            <w:r>
              <w:rPr/>
              <w:t>11,000,000</w:t>
            </w:r>
          </w:p>
        </w:tc>
        <w:tc>
          <w:tcPr>
            <w:tcW w:w="64" w:type="dxa"/>
            <w:tcBorders/>
            <w:vAlign w:val="bottom"/>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646"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Barrington Research Associates, Inc.</w:t>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4,000,000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646" w:type="dxa"/>
            <w:tcBorders/>
            <w:vAlign w:val="bottom"/>
          </w:tcPr>
          <w:p>
            <w:pPr>
              <w:pStyle w:val="TableContents"/>
              <w:bidi w:val="0"/>
              <w:spacing w:before="0" w:after="283"/>
              <w:jc w:val="right"/>
              <w:rPr/>
            </w:pPr>
            <w:r>
              <w:rPr/>
              <w:t>500,000</w:t>
            </w:r>
          </w:p>
        </w:tc>
        <w:tc>
          <w:tcPr>
            <w:tcW w:w="64" w:type="dxa"/>
            <w:tcBorders/>
            <w:vAlign w:val="bottom"/>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646"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4,000,000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646" w:type="dxa"/>
            <w:tcBorders/>
            <w:vAlign w:val="bottom"/>
          </w:tcPr>
          <w:p>
            <w:pPr>
              <w:pStyle w:val="TableContents"/>
              <w:bidi w:val="0"/>
              <w:spacing w:before="0" w:after="283"/>
              <w:jc w:val="right"/>
              <w:rPr/>
            </w:pPr>
            <w:r>
              <w:rPr/>
              <w:t>500,000</w:t>
            </w:r>
          </w:p>
        </w:tc>
        <w:tc>
          <w:tcPr>
            <w:tcW w:w="64" w:type="dxa"/>
            <w:tcBorders/>
            <w:vAlign w:val="bottom"/>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Citizens JMP Securities, LLC</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646"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4,000,000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646" w:type="dxa"/>
            <w:tcBorders/>
            <w:vAlign w:val="bottom"/>
          </w:tcPr>
          <w:p>
            <w:pPr>
              <w:pStyle w:val="TableContents"/>
              <w:bidi w:val="0"/>
              <w:spacing w:before="0" w:after="283"/>
              <w:jc w:val="right"/>
              <w:rPr/>
            </w:pPr>
            <w:r>
              <w:rPr/>
              <w:t>500,000</w:t>
            </w:r>
          </w:p>
        </w:tc>
        <w:tc>
          <w:tcPr>
            <w:tcW w:w="64" w:type="dxa"/>
            <w:tcBorders/>
            <w:vAlign w:val="bottom"/>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646"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Huntington Securities, Inc.</w:t>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4,000,000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646" w:type="dxa"/>
            <w:tcBorders/>
            <w:vAlign w:val="bottom"/>
          </w:tcPr>
          <w:p>
            <w:pPr>
              <w:pStyle w:val="TableContents"/>
              <w:bidi w:val="0"/>
              <w:spacing w:before="0" w:after="283"/>
              <w:jc w:val="right"/>
              <w:rPr/>
            </w:pPr>
            <w:r>
              <w:rPr/>
              <w:t>500,000</w:t>
            </w:r>
          </w:p>
        </w:tc>
        <w:tc>
          <w:tcPr>
            <w:tcW w:w="64" w:type="dxa"/>
            <w:tcBorders/>
            <w:vAlign w:val="bottom"/>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646"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4,000,000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646" w:type="dxa"/>
            <w:tcBorders/>
            <w:vAlign w:val="bottom"/>
          </w:tcPr>
          <w:p>
            <w:pPr>
              <w:pStyle w:val="TableContents"/>
              <w:bidi w:val="0"/>
              <w:spacing w:before="0" w:after="283"/>
              <w:jc w:val="right"/>
              <w:rPr/>
            </w:pPr>
            <w:r>
              <w:rPr/>
              <w:t>500,000</w:t>
            </w:r>
          </w:p>
        </w:tc>
        <w:tc>
          <w:tcPr>
            <w:tcW w:w="64" w:type="dxa"/>
            <w:tcBorders/>
            <w:vAlign w:val="bottom"/>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Siebert William Shank &amp; Co., LLC</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646" w:type="dxa"/>
            <w:tcBorders/>
            <w:shd w:fill="CCEEFF" w:val="clear"/>
            <w:vAlign w:val="bottom"/>
          </w:tcPr>
          <w:p>
            <w:pPr>
              <w:pStyle w:val="TableContents"/>
              <w:bidi w:val="0"/>
              <w:spacing w:before="0" w:after="283"/>
              <w:jc w:val="right"/>
              <w:rPr/>
            </w:pPr>
            <w:r>
              <w:rPr/>
              <w:t>500,000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4,000,000</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646" w:type="dxa"/>
            <w:tcBorders/>
            <w:vAlign w:val="bottom"/>
          </w:tcPr>
          <w:p>
            <w:pPr>
              <w:pStyle w:val="TableContents"/>
              <w:bidi w:val="0"/>
              <w:spacing w:before="0" w:after="283"/>
              <w:jc w:val="right"/>
              <w:rPr/>
            </w:pPr>
            <w:r>
              <w:rPr/>
              <w:t>500,000</w:t>
            </w:r>
          </w:p>
        </w:tc>
        <w:tc>
          <w:tcPr>
            <w:tcW w:w="64" w:type="dxa"/>
            <w:tcBorders/>
            <w:vAlign w:val="bottom"/>
          </w:tcPr>
          <w:p>
            <w:pPr>
              <w:pStyle w:val="TableContents"/>
              <w:bidi w:val="0"/>
              <w:spacing w:before="0" w:after="283"/>
              <w:jc w:val="left"/>
              <w:rPr/>
            </w:pPr>
            <w:r>
              <w:rPr/>
              <w:t> </w:t>
            </w:r>
          </w:p>
        </w:tc>
      </w:tr>
      <w:tr>
        <w:trPr/>
        <w:tc>
          <w:tcPr>
            <w:tcW w:w="581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6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400,000,000</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646" w:type="dxa"/>
            <w:tcBorders/>
            <w:shd w:fill="CCEEFF" w:val="clear"/>
            <w:vAlign w:val="bottom"/>
          </w:tcPr>
          <w:p>
            <w:pPr>
              <w:pStyle w:val="TableContents"/>
              <w:bidi w:val="0"/>
              <w:spacing w:before="0" w:after="283"/>
              <w:jc w:val="right"/>
              <w:rPr/>
            </w:pPr>
            <w:r>
              <w:rPr/>
              <w:t>50,000,000</w:t>
            </w:r>
          </w:p>
        </w:tc>
        <w:tc>
          <w:tcPr>
            <w:tcW w:w="64" w:type="dxa"/>
            <w:tcBorders/>
            <w:shd w:fill="CCEEFF" w:val="clear"/>
            <w:vAlign w:val="bottom"/>
          </w:tcPr>
          <w:p>
            <w:pPr>
              <w:pStyle w:val="TableContents"/>
              <w:bidi w:val="0"/>
              <w:spacing w:before="0" w:after="283"/>
              <w:jc w:val="left"/>
              <w:rPr/>
            </w:pPr>
            <w:r>
              <w:rPr/>
              <w:t> </w:t>
            </w:r>
          </w:p>
        </w:tc>
      </w:tr>
      <w:tr>
        <w:trPr/>
        <w:tc>
          <w:tcPr>
            <w:tcW w:w="581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16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Time of Sale Information </w:t>
      </w:r>
    </w:p>
    <w:p>
      <w:pPr>
        <w:pStyle w:val="TextBody"/>
        <w:bidi w:val="0"/>
        <w:spacing w:before="240" w:after="0"/>
        <w:jc w:val="left"/>
        <w:rPr>
          <w:rFonts w:ascii="Times New Roman" w:hAnsi="Times New Roman"/>
          <w:sz w:val="20"/>
        </w:rPr>
      </w:pPr>
      <w:r>
        <w:rPr>
          <w:rFonts w:ascii="Times New Roman" w:hAnsi="Times New Roman"/>
          <w:sz w:val="20"/>
        </w:rPr>
        <w:t xml:space="preserve">Free Writing Prospectus dated March 14, 2024 filed with the SEC on March 15, 2024 pursuant to Rule 433(d) under the Securities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B </w:t>
      </w:r>
    </w:p>
    <w:p>
      <w:pPr>
        <w:pStyle w:val="TextBody"/>
        <w:bidi w:val="0"/>
        <w:spacing w:before="240" w:after="0"/>
        <w:jc w:val="right"/>
        <w:rPr>
          <w:rFonts w:ascii="Times New Roman" w:hAnsi="Times New Roman"/>
          <w:b/>
          <w:sz w:val="20"/>
        </w:rPr>
      </w:pPr>
      <w:r>
        <w:rPr>
          <w:rFonts w:ascii="Times New Roman" w:hAnsi="Times New Roman"/>
          <w:b/>
          <w:sz w:val="20"/>
        </w:rPr>
        <w:t xml:space="preserve">Issuer Free Writing Prospectus dated March 14, 2024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Relating to Preliminary Prospectus Supplement dated March 14, 2024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333-263148 </w:t>
      </w:r>
    </w:p>
    <w:p>
      <w:pPr>
        <w:pStyle w:val="TextBody"/>
        <w:bidi w:val="0"/>
        <w:spacing w:before="480" w:after="0"/>
        <w:jc w:val="center"/>
        <w:rPr>
          <w:rFonts w:ascii="Times New Roman" w:hAnsi="Times New Roman"/>
          <w:b/>
          <w:sz w:val="20"/>
        </w:rPr>
      </w:pPr>
      <w:r>
        <w:rPr>
          <w:rFonts w:ascii="Times New Roman" w:hAnsi="Times New Roman"/>
          <w:b/>
          <w:sz w:val="20"/>
        </w:rPr>
        <w:t xml:space="preserve">Affiliated Managers Group,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9715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971550"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$400,000,000 </w:t>
      </w:r>
    </w:p>
    <w:p>
      <w:pPr>
        <w:pStyle w:val="TextBody"/>
        <w:bidi w:val="0"/>
        <w:spacing w:before="0" w:after="0"/>
        <w:jc w:val="center"/>
        <w:rPr>
          <w:rFonts w:ascii="Times New Roman" w:hAnsi="Times New Roman"/>
          <w:sz w:val="20"/>
        </w:rPr>
      </w:pPr>
      <w:r>
        <w:rPr>
          <w:rFonts w:ascii="Times New Roman" w:hAnsi="Times New Roman"/>
          <w:sz w:val="20"/>
        </w:rPr>
        <w:t xml:space="preserve">6.750% Junior Subordinated Notes due 2064 </w:t>
      </w:r>
    </w:p>
    <w:p>
      <w:pPr>
        <w:pStyle w:val="TextBody"/>
        <w:bidi w:val="0"/>
        <w:spacing w:before="0" w:after="0"/>
        <w:jc w:val="center"/>
        <w:rPr>
          <w:rFonts w:ascii="Times New Roman" w:hAnsi="Times New Roman"/>
          <w:sz w:val="20"/>
        </w:rPr>
      </w:pPr>
      <w:r>
        <w:rPr>
          <w:rFonts w:ascii="Times New Roman" w:hAnsi="Times New Roman"/>
          <w:sz w:val="20"/>
        </w:rPr>
        <w:t xml:space="preserve">Term Sheet </w:t>
      </w:r>
    </w:p>
    <w:p>
      <w:pPr>
        <w:pStyle w:val="TextBody"/>
        <w:bidi w:val="0"/>
        <w:spacing w:before="0" w:after="0"/>
        <w:jc w:val="center"/>
        <w:rPr>
          <w:rFonts w:ascii="Times New Roman" w:hAnsi="Times New Roman"/>
          <w:sz w:val="20"/>
        </w:rPr>
      </w:pPr>
      <w:r>
        <w:rPr>
          <w:rFonts w:ascii="Times New Roman" w:hAnsi="Times New Roman"/>
          <w:sz w:val="20"/>
        </w:rPr>
        <w:t xml:space="preserve">March 14, 2024 </w:t>
      </w:r>
    </w:p>
    <w:p>
      <w:pPr>
        <w:pStyle w:val="TextBody"/>
        <w:bidi w:val="0"/>
        <w:spacing w:before="240" w:after="0"/>
        <w:jc w:val="left"/>
        <w:rPr>
          <w:rFonts w:ascii="Times New Roman" w:hAnsi="Times New Roman"/>
          <w:sz w:val="20"/>
        </w:rPr>
      </w:pPr>
      <w:r>
        <w:rPr>
          <w:rFonts w:ascii="Times New Roman" w:hAnsi="Times New Roman"/>
          <w:sz w:val="20"/>
        </w:rPr>
        <w:t>The following information relates only to Affiliated Managers Group, Inc.s offering (the </w:t>
      </w:r>
      <w:r>
        <w:rPr>
          <w:rFonts w:ascii="Times New Roman" w:hAnsi="Times New Roman"/>
          <w:sz w:val="20"/>
          <w:u w:val="single"/>
        </w:rPr>
        <w:t>Offering</w:t>
      </w:r>
      <w:r>
        <w:rPr>
          <w:rFonts w:ascii="Times New Roman" w:hAnsi="Times New Roman"/>
          <w:sz w:val="20"/>
        </w:rPr>
        <w:t xml:space="preserve">) of its 6.750% Junior Subordinated Notes due 2064 and should be read together with the preliminary prospectus supplement dated March 14, 2024 relating to the Offering and the accompanying prospectus dated March 1, 2022, including the documents incorporated by reference therein.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5"/>
        <w:gridCol w:w="122"/>
        <w:gridCol w:w="7158"/>
      </w:tblGrid>
      <w:tr>
        <w:trPr/>
        <w:tc>
          <w:tcPr>
            <w:tcW w:w="29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58" w:type="dxa"/>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pPr>
            <w:r>
              <w:rPr/>
              <w:t>Issuer:</w:t>
            </w:r>
          </w:p>
        </w:tc>
        <w:tc>
          <w:tcPr>
            <w:tcW w:w="122" w:type="dxa"/>
            <w:tcBorders/>
            <w:vAlign w:val="bottom"/>
          </w:tcPr>
          <w:p>
            <w:pPr>
              <w:pStyle w:val="TableContents"/>
              <w:bidi w:val="0"/>
              <w:spacing w:before="0" w:after="283"/>
              <w:jc w:val="left"/>
              <w:rPr/>
            </w:pPr>
            <w:r>
              <w:rPr/>
              <w:t>  </w:t>
            </w:r>
          </w:p>
        </w:tc>
        <w:tc>
          <w:tcPr>
            <w:tcW w:w="7158" w:type="dxa"/>
            <w:tcBorders/>
          </w:tcPr>
          <w:p>
            <w:pPr>
              <w:pStyle w:val="TableContents"/>
              <w:bidi w:val="0"/>
              <w:spacing w:before="0" w:after="283"/>
              <w:jc w:val="left"/>
              <w:rPr/>
            </w:pPr>
            <w:r>
              <w:rPr/>
              <w:t>Affiliated Managers Group, Inc. (NYSE: AMG)</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pPr>
            <w:r>
              <w:rPr/>
              <w:t>Title of Security:</w:t>
            </w:r>
          </w:p>
        </w:tc>
        <w:tc>
          <w:tcPr>
            <w:tcW w:w="122" w:type="dxa"/>
            <w:tcBorders/>
            <w:vAlign w:val="bottom"/>
          </w:tcPr>
          <w:p>
            <w:pPr>
              <w:pStyle w:val="TableContents"/>
              <w:bidi w:val="0"/>
              <w:spacing w:before="0" w:after="283"/>
              <w:jc w:val="left"/>
              <w:rPr/>
            </w:pPr>
            <w:r>
              <w:rPr/>
              <w:t>  </w:t>
            </w:r>
          </w:p>
        </w:tc>
        <w:tc>
          <w:tcPr>
            <w:tcW w:w="7158" w:type="dxa"/>
            <w:tcBorders/>
          </w:tcPr>
          <w:p>
            <w:pPr>
              <w:pStyle w:val="TableContents"/>
              <w:bidi w:val="0"/>
              <w:spacing w:before="0" w:after="283"/>
              <w:jc w:val="left"/>
              <w:rPr/>
            </w:pPr>
            <w:r>
              <w:rPr/>
              <w:t>6.750% Junior Subordinated Notes due 2064 (the Notes)</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pPr>
            <w:r>
              <w:rPr/>
              <w:t>Type of Offering:</w:t>
            </w:r>
          </w:p>
        </w:tc>
        <w:tc>
          <w:tcPr>
            <w:tcW w:w="122" w:type="dxa"/>
            <w:tcBorders/>
            <w:vAlign w:val="bottom"/>
          </w:tcPr>
          <w:p>
            <w:pPr>
              <w:pStyle w:val="TableContents"/>
              <w:bidi w:val="0"/>
              <w:spacing w:before="0" w:after="283"/>
              <w:jc w:val="left"/>
              <w:rPr/>
            </w:pPr>
            <w:r>
              <w:rPr/>
              <w:t>  </w:t>
            </w:r>
          </w:p>
        </w:tc>
        <w:tc>
          <w:tcPr>
            <w:tcW w:w="7158" w:type="dxa"/>
            <w:tcBorders/>
          </w:tcPr>
          <w:p>
            <w:pPr>
              <w:pStyle w:val="TableContents"/>
              <w:bidi w:val="0"/>
              <w:spacing w:before="0" w:after="283"/>
              <w:jc w:val="left"/>
              <w:rPr/>
            </w:pPr>
            <w:r>
              <w:rPr/>
              <w:t>SEC Registered</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pPr>
            <w:r>
              <w:rPr/>
              <w:t>Principal Amount:</w:t>
            </w:r>
          </w:p>
        </w:tc>
        <w:tc>
          <w:tcPr>
            <w:tcW w:w="122" w:type="dxa"/>
            <w:tcBorders/>
            <w:vAlign w:val="bottom"/>
          </w:tcPr>
          <w:p>
            <w:pPr>
              <w:pStyle w:val="TableContents"/>
              <w:bidi w:val="0"/>
              <w:spacing w:before="0" w:after="283"/>
              <w:jc w:val="left"/>
              <w:rPr/>
            </w:pPr>
            <w:r>
              <w:rPr/>
              <w:t>  </w:t>
            </w:r>
          </w:p>
        </w:tc>
        <w:tc>
          <w:tcPr>
            <w:tcW w:w="7158" w:type="dxa"/>
            <w:tcBorders/>
          </w:tcPr>
          <w:p>
            <w:pPr>
              <w:pStyle w:val="TableContents"/>
              <w:bidi w:val="0"/>
              <w:spacing w:before="0" w:after="283"/>
              <w:jc w:val="left"/>
              <w:rPr/>
            </w:pPr>
            <w:r>
              <w:rPr/>
              <w:t>$400,000,000</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pPr>
            <w:r>
              <w:rPr/>
              <w:t>Expected Ratings (Moodys / S&amp;P)*:</w:t>
            </w:r>
          </w:p>
        </w:tc>
        <w:tc>
          <w:tcPr>
            <w:tcW w:w="122" w:type="dxa"/>
            <w:tcBorders/>
            <w:vAlign w:val="bottom"/>
          </w:tcPr>
          <w:p>
            <w:pPr>
              <w:pStyle w:val="TableContents"/>
              <w:bidi w:val="0"/>
              <w:spacing w:before="0" w:after="283"/>
              <w:jc w:val="left"/>
              <w:rPr/>
            </w:pPr>
            <w:r>
              <w:rPr/>
              <w:t>  </w:t>
            </w:r>
          </w:p>
        </w:tc>
        <w:tc>
          <w:tcPr>
            <w:tcW w:w="7158" w:type="dxa"/>
            <w:tcBorders/>
          </w:tcPr>
          <w:p>
            <w:pPr>
              <w:pStyle w:val="TableContents"/>
              <w:bidi w:val="0"/>
              <w:spacing w:before="0" w:after="283"/>
              <w:jc w:val="left"/>
              <w:rPr/>
            </w:pPr>
            <w:r>
              <w:rPr/>
              <w:t>Baa1 / BBB-</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pPr>
            <w:r>
              <w:rPr/>
              <w:t>Trade Date:</w:t>
            </w:r>
          </w:p>
        </w:tc>
        <w:tc>
          <w:tcPr>
            <w:tcW w:w="122" w:type="dxa"/>
            <w:tcBorders/>
            <w:vAlign w:val="bottom"/>
          </w:tcPr>
          <w:p>
            <w:pPr>
              <w:pStyle w:val="TableContents"/>
              <w:bidi w:val="0"/>
              <w:spacing w:before="0" w:after="283"/>
              <w:jc w:val="left"/>
              <w:rPr/>
            </w:pPr>
            <w:r>
              <w:rPr/>
              <w:t>  </w:t>
            </w:r>
          </w:p>
        </w:tc>
        <w:tc>
          <w:tcPr>
            <w:tcW w:w="7158" w:type="dxa"/>
            <w:tcBorders/>
          </w:tcPr>
          <w:p>
            <w:pPr>
              <w:pStyle w:val="TableContents"/>
              <w:bidi w:val="0"/>
              <w:spacing w:before="0" w:after="283"/>
              <w:jc w:val="left"/>
              <w:rPr/>
            </w:pPr>
            <w:r>
              <w:rPr/>
              <w:t>March 14, 2024</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pPr>
            <w:r>
              <w:rPr/>
              <w:t>Expected Settlement Date:</w:t>
            </w:r>
          </w:p>
        </w:tc>
        <w:tc>
          <w:tcPr>
            <w:tcW w:w="122" w:type="dxa"/>
            <w:tcBorders/>
            <w:vAlign w:val="bottom"/>
          </w:tcPr>
          <w:p>
            <w:pPr>
              <w:pStyle w:val="TableContents"/>
              <w:bidi w:val="0"/>
              <w:spacing w:before="0" w:after="283"/>
              <w:jc w:val="left"/>
              <w:rPr/>
            </w:pPr>
            <w:r>
              <w:rPr/>
              <w:t>  </w:t>
            </w:r>
          </w:p>
        </w:tc>
        <w:tc>
          <w:tcPr>
            <w:tcW w:w="7158" w:type="dxa"/>
            <w:tcBorders/>
          </w:tcPr>
          <w:p>
            <w:pPr>
              <w:pStyle w:val="TableContents"/>
              <w:bidi w:val="0"/>
              <w:spacing w:before="0" w:after="0"/>
              <w:jc w:val="left"/>
              <w:rPr>
                <w:rFonts w:ascii="Times New Roman" w:hAnsi="Times New Roman"/>
                <w:sz w:val="20"/>
              </w:rPr>
            </w:pPr>
            <w:r>
              <w:rPr>
                <w:rFonts w:ascii="Times New Roman" w:hAnsi="Times New Roman"/>
                <w:sz w:val="20"/>
              </w:rPr>
              <w:t>March 20, 2024 (T+4)</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Under Rule 15c6-1 under the U.S. Securities Exchange Act of 1934, as amended, trades in the secondary market generally are required to settle in two business days, unless the parties to a trade expressly agree otherwise. Accordingly, purchasers who wish to trade Notes on any date prior to two business days before the Expected Settlement Date will be required to specify alternative settlement arrangements to prevent a failed settlement.</w:t>
            </w:r>
          </w:p>
        </w:tc>
      </w:tr>
      <w:tr>
        <w:trPr>
          <w:trHeight w:val="120" w:hRule="atLeast"/>
        </w:trPr>
        <w:tc>
          <w:tcPr>
            <w:tcW w:w="2925" w:type="dxa"/>
            <w:tcBorders/>
            <w:vAlign w:val="center"/>
          </w:tcPr>
          <w:p>
            <w:pPr>
              <w:pStyle w:val="TableContents"/>
              <w:bidi w:val="0"/>
              <w:spacing w:before="0" w:after="283"/>
              <w:jc w:val="left"/>
              <w:rPr>
                <w:sz w:val="4"/>
                <w:szCs w:val="4"/>
              </w:rPr>
            </w:pPr>
            <w:r>
              <w:rPr>
                <w:sz w:val="4"/>
                <w:szCs w:val="4"/>
              </w:rPr>
            </w:r>
          </w:p>
        </w:tc>
        <w:tc>
          <w:tcPr>
            <w:tcW w:w="7280" w:type="dxa"/>
            <w:gridSpan w:val="2"/>
            <w:tcBorders/>
            <w:vAlign w:val="center"/>
          </w:tcPr>
          <w:p>
            <w:pPr>
              <w:pStyle w:val="TableContents"/>
              <w:bidi w:val="0"/>
              <w:spacing w:before="0" w:after="283"/>
              <w:jc w:val="left"/>
              <w:rPr>
                <w:sz w:val="4"/>
                <w:szCs w:val="4"/>
              </w:rPr>
            </w:pPr>
            <w:r>
              <w:rPr>
                <w:sz w:val="4"/>
                <w:szCs w:val="4"/>
              </w:rPr>
            </w:r>
          </w:p>
        </w:tc>
      </w:tr>
      <w:tr>
        <w:trPr/>
        <w:tc>
          <w:tcPr>
            <w:tcW w:w="2925" w:type="dxa"/>
            <w:tcBorders/>
          </w:tcPr>
          <w:p>
            <w:pPr>
              <w:pStyle w:val="TableContents"/>
              <w:bidi w:val="0"/>
              <w:spacing w:before="0" w:after="283"/>
              <w:jc w:val="left"/>
              <w:rPr/>
            </w:pPr>
            <w:r>
              <w:rPr/>
              <w:t>Maturity Date:</w:t>
            </w:r>
          </w:p>
        </w:tc>
        <w:tc>
          <w:tcPr>
            <w:tcW w:w="122" w:type="dxa"/>
            <w:tcBorders/>
            <w:vAlign w:val="bottom"/>
          </w:tcPr>
          <w:p>
            <w:pPr>
              <w:pStyle w:val="TableContents"/>
              <w:bidi w:val="0"/>
              <w:spacing w:before="0" w:after="283"/>
              <w:jc w:val="left"/>
              <w:rPr/>
            </w:pPr>
            <w:r>
              <w:rPr/>
              <w:t>  </w:t>
            </w:r>
          </w:p>
        </w:tc>
        <w:tc>
          <w:tcPr>
            <w:tcW w:w="7158" w:type="dxa"/>
            <w:tcBorders/>
          </w:tcPr>
          <w:p>
            <w:pPr>
              <w:pStyle w:val="TableContents"/>
              <w:bidi w:val="0"/>
              <w:spacing w:before="0" w:after="283"/>
              <w:jc w:val="left"/>
              <w:rPr/>
            </w:pPr>
            <w:r>
              <w:rPr/>
              <w:t>March 30, 2064</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85"/>
        <w:gridCol w:w="122"/>
        <w:gridCol w:w="7098"/>
      </w:tblGrid>
      <w:tr>
        <w:trPr/>
        <w:tc>
          <w:tcPr>
            <w:tcW w:w="29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098" w:type="dxa"/>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0"/>
              <w:jc w:val="left"/>
              <w:rPr>
                <w:rFonts w:ascii="Times New Roman" w:hAnsi="Times New Roman"/>
                <w:sz w:val="20"/>
              </w:rPr>
            </w:pPr>
            <w:r>
              <w:rPr>
                <w:rFonts w:ascii="Times New Roman" w:hAnsi="Times New Roman"/>
                <w:sz w:val="20"/>
              </w:rPr>
              <w:t>Minimum Denomination / Multiples: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Interest Payment Dates:</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0"/>
              <w:jc w:val="left"/>
              <w:rPr>
                <w:rFonts w:ascii="Times New Roman" w:hAnsi="Times New Roman"/>
                <w:sz w:val="20"/>
              </w:rPr>
            </w:pPr>
            <w:r>
              <w:rPr>
                <w:rFonts w:ascii="Times New Roman" w:hAnsi="Times New Roman"/>
                <w:sz w:val="20"/>
              </w:rPr>
              <w:t>$25.00 and in integral multiples of $25.00 in excess thereof</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March 30, June 30, September 30 and December 30 of each year, beginning June 30, 2024 (long first coupon)</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Coupon:</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6.750%</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Price to Public:</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$25.00 per Note / 100% of principal amount</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Underwriter Purchase Price for Sales to Retail:</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$24.2125 per Note plus accrued interest, if any, from March 20, 2024</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Underwriter Purchase Price for Sales to Institutions:</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$24.50 per Note plus accrued interest, if any, from March 20, 2024</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Over-allotment Option:</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The underwriters may purchase up to an additional $50,000,000 aggregate principal amount of Notes for 30 days after the Trade Date in order to cover over-allotments, if any.</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Optional Redemption:</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sz w:val="4"/>
                <w:szCs w:val="4"/>
              </w:rPr>
            </w:pPr>
            <w:r>
              <w:rPr>
                <w:sz w:val="4"/>
                <w:szCs w:val="4"/>
              </w:rPr>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0"/>
              <w:jc w:val="left"/>
              <w:rPr>
                <w:rFonts w:ascii="Times New Roman" w:hAnsi="Times New Roman"/>
                <w:sz w:val="20"/>
              </w:rPr>
            </w:pPr>
            <w:r>
              <w:rPr>
                <w:rFonts w:ascii="Times New Roman" w:hAnsi="Times New Roman"/>
                <w:sz w:val="20"/>
              </w:rPr>
              <w:t>Par Call:</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On or after March 30, 2029, in whole or in part, at 100% of the principal amount, plus any accrued and unpaid interest</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0"/>
              <w:jc w:val="left"/>
              <w:rPr>
                <w:rFonts w:ascii="Times New Roman" w:hAnsi="Times New Roman"/>
                <w:sz w:val="20"/>
              </w:rPr>
            </w:pPr>
            <w:r>
              <w:rPr>
                <w:rFonts w:ascii="Times New Roman" w:hAnsi="Times New Roman"/>
                <w:sz w:val="20"/>
              </w:rPr>
              <w:t>Call for Tax Event:</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Prior to March 30, 2029, in whole but not in part, at 100% of the principal amount, plus any accrued and unpaid interest</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0"/>
              <w:jc w:val="left"/>
              <w:rPr>
                <w:rFonts w:ascii="Times New Roman" w:hAnsi="Times New Roman"/>
                <w:sz w:val="20"/>
              </w:rPr>
            </w:pPr>
            <w:r>
              <w:rPr>
                <w:rFonts w:ascii="Times New Roman" w:hAnsi="Times New Roman"/>
                <w:sz w:val="20"/>
              </w:rPr>
              <w:t>Call for Rating Agency Event:</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Prior to March 30, 2029, in whole but not in part, at 102% of the principal amount, plus any accrued and unpaid interest</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Optional Deferral:</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Up to 20 consecutive quarterly periods per deferral period</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Listing:</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The Issuer intends to apply to list the Notes on the New York Stock Exchange and, if approved for listing, expects the Notes to begin trading within 30 days after the Settlement Date.</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Net Proceeds, Before Expenses:</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$389,881,901.25 (without exercise of the Over-allotment Option)</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Use of Proceeds:</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The Issuer intends to use the net proceeds of this Offering for general corporate purposes, which may include the repayment or refinancing of indebtedness, share repurchases, and investments in new and existing investment management firms.</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CUSIP / ISIN:</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283"/>
              <w:jc w:val="left"/>
              <w:rPr/>
            </w:pPr>
            <w:r>
              <w:rPr/>
              <w:t>008252827 / US0082528276</w:t>
            </w:r>
          </w:p>
        </w:tc>
      </w:tr>
      <w:tr>
        <w:trPr>
          <w:trHeight w:val="120" w:hRule="atLeast"/>
        </w:trPr>
        <w:tc>
          <w:tcPr>
            <w:tcW w:w="2985" w:type="dxa"/>
            <w:tcBorders/>
            <w:vAlign w:val="center"/>
          </w:tcPr>
          <w:p>
            <w:pPr>
              <w:pStyle w:val="TableContents"/>
              <w:bidi w:val="0"/>
              <w:spacing w:before="0" w:after="283"/>
              <w:jc w:val="left"/>
              <w:rPr>
                <w:sz w:val="4"/>
                <w:szCs w:val="4"/>
              </w:rPr>
            </w:pPr>
            <w:r>
              <w:rPr>
                <w:sz w:val="4"/>
                <w:szCs w:val="4"/>
              </w:rPr>
            </w:r>
          </w:p>
        </w:tc>
        <w:tc>
          <w:tcPr>
            <w:tcW w:w="7220" w:type="dxa"/>
            <w:gridSpan w:val="2"/>
            <w:tcBorders/>
            <w:vAlign w:val="center"/>
          </w:tcPr>
          <w:p>
            <w:pPr>
              <w:pStyle w:val="TableContents"/>
              <w:bidi w:val="0"/>
              <w:spacing w:before="0" w:after="283"/>
              <w:jc w:val="left"/>
              <w:rPr>
                <w:sz w:val="4"/>
                <w:szCs w:val="4"/>
              </w:rPr>
            </w:pPr>
            <w:r>
              <w:rPr>
                <w:sz w:val="4"/>
                <w:szCs w:val="4"/>
              </w:rPr>
            </w:r>
          </w:p>
        </w:tc>
      </w:tr>
      <w:tr>
        <w:trPr/>
        <w:tc>
          <w:tcPr>
            <w:tcW w:w="2985" w:type="dxa"/>
            <w:tcBorders/>
          </w:tcPr>
          <w:p>
            <w:pPr>
              <w:pStyle w:val="TableContents"/>
              <w:bidi w:val="0"/>
              <w:spacing w:before="0" w:after="283"/>
              <w:jc w:val="left"/>
              <w:rPr/>
            </w:pPr>
            <w:r>
              <w:rPr/>
              <w:t>Joint Book-Running Managers:</w:t>
            </w:r>
          </w:p>
        </w:tc>
        <w:tc>
          <w:tcPr>
            <w:tcW w:w="122" w:type="dxa"/>
            <w:tcBorders/>
            <w:vAlign w:val="bottom"/>
          </w:tcPr>
          <w:p>
            <w:pPr>
              <w:pStyle w:val="TableContents"/>
              <w:bidi w:val="0"/>
              <w:spacing w:before="0" w:after="283"/>
              <w:jc w:val="left"/>
              <w:rPr/>
            </w:pPr>
            <w:r>
              <w:rPr/>
              <w:t>  </w:t>
            </w:r>
          </w:p>
        </w:tc>
        <w:tc>
          <w:tcPr>
            <w:tcW w:w="7098"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08"/>
        <w:gridCol w:w="121"/>
        <w:gridCol w:w="7176"/>
      </w:tblGrid>
      <w:tr>
        <w:trPr/>
        <w:tc>
          <w:tcPr>
            <w:tcW w:w="29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76" w:type="dxa"/>
            <w:tcBorders/>
            <w:vAlign w:val="center"/>
          </w:tcPr>
          <w:p>
            <w:pPr>
              <w:pStyle w:val="TableContents"/>
              <w:bidi w:val="0"/>
              <w:spacing w:before="0" w:after="283"/>
              <w:jc w:val="left"/>
              <w:rPr>
                <w:sz w:val="4"/>
                <w:szCs w:val="4"/>
              </w:rPr>
            </w:pPr>
            <w:r>
              <w:rPr>
                <w:sz w:val="4"/>
                <w:szCs w:val="4"/>
              </w:rPr>
            </w:r>
          </w:p>
        </w:tc>
      </w:tr>
      <w:tr>
        <w:trPr/>
        <w:tc>
          <w:tcPr>
            <w:tcW w:w="2908" w:type="dxa"/>
            <w:tcBorders/>
          </w:tcPr>
          <w:p>
            <w:pPr>
              <w:pStyle w:val="TableContents"/>
              <w:bidi w:val="0"/>
              <w:spacing w:before="0" w:after="283"/>
              <w:jc w:val="left"/>
              <w:rPr/>
            </w:pPr>
            <w:r>
              <w:rPr/>
              <w:t>Co-Managers:</w:t>
            </w:r>
          </w:p>
        </w:tc>
        <w:tc>
          <w:tcPr>
            <w:tcW w:w="121" w:type="dxa"/>
            <w:tcBorders/>
            <w:vAlign w:val="bottom"/>
          </w:tcPr>
          <w:p>
            <w:pPr>
              <w:pStyle w:val="TableContents"/>
              <w:bidi w:val="0"/>
              <w:spacing w:before="0" w:after="283"/>
              <w:jc w:val="left"/>
              <w:rPr/>
            </w:pPr>
            <w:r>
              <w:rPr/>
              <w:t>  </w:t>
            </w:r>
          </w:p>
        </w:tc>
        <w:tc>
          <w:tcPr>
            <w:tcW w:w="7176"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Barrington Research Associates, Inc.</w:t>
            </w:r>
          </w:p>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Huntington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t>
      </w:r>
      <w:r>
        <w:rPr>
          <w:rFonts w:ascii="Times New Roman" w:hAnsi="Times New Roman"/>
          <w:b/>
          <w:sz w:val="20"/>
          <w:u w:val="single"/>
        </w:rPr>
        <w:t>www.sec.gov</w:t>
      </w:r>
      <w:r>
        <w:rPr>
          <w:rFonts w:ascii="Times New Roman" w:hAnsi="Times New Roman"/>
          <w:b/>
          <w:sz w:val="20"/>
        </w:rPr>
        <w:t xml:space="preserve">. Alternatively, any underwriter participating in the Offering will arrange to send you the prospectus and the prospectus supplement if you request them by calling BofA Securities, Inc. at 1-800-294-1322; Morgan Stanley &amp; Co. LLC at 1-866-718-1649; RBC Capital Markets, LLC at 1-866-375-6829; or Wells Fargo Securities, LLC at 1-800-645-3751.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p>
      <w:pPr>
        <w:pStyle w:val="TextBody"/>
        <w:bidi w:val="0"/>
        <w:spacing w:before="0" w:after="0"/>
        <w:jc w:val="right"/>
        <w:rPr>
          <w:rFonts w:ascii="Times New Roman" w:hAnsi="Times New Roman"/>
          <w:b/>
          <w:sz w:val="20"/>
        </w:rPr>
      </w:pPr>
      <w:bookmarkStart w:id="4" w:name="d797758dex42.htm"/>
      <w:bookmarkStart w:id="5" w:name="ksd797758dex42"/>
      <w:bookmarkEnd w:id="4"/>
      <w:bookmarkEnd w:id="5"/>
      <w:r>
        <w:rPr>
          <w:rFonts w:ascii="Times New Roman" w:hAnsi="Times New Roman"/>
          <w:b/>
          <w:sz w:val="20"/>
        </w:rPr>
        <w:t xml:space="preserve">Exhibit 4.2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AFFILIATED MANAGERS GROUP, INC. </w:t>
      </w:r>
    </w:p>
    <w:p>
      <w:pPr>
        <w:pStyle w:val="TextBody"/>
        <w:bidi w:val="0"/>
        <w:spacing w:before="240" w:after="0"/>
        <w:jc w:val="center"/>
        <w:rPr>
          <w:rFonts w:ascii="Times New Roman" w:hAnsi="Times New Roman"/>
          <w:b/>
          <w:sz w:val="20"/>
        </w:rPr>
      </w:pPr>
      <w:r>
        <w:rPr>
          <w:rFonts w:ascii="Times New Roman" w:hAnsi="Times New Roman"/>
          <w:b/>
          <w:sz w:val="20"/>
        </w:rPr>
        <w:t xml:space="preserve">Fourth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March 20, 2024 </w:t>
      </w:r>
    </w:p>
    <w:p>
      <w:pPr>
        <w:pStyle w:val="TextBody"/>
        <w:bidi w:val="0"/>
        <w:spacing w:before="240" w:after="0"/>
        <w:jc w:val="center"/>
        <w:rPr>
          <w:rFonts w:ascii="Times New Roman" w:hAnsi="Times New Roman"/>
          <w:b/>
          <w:sz w:val="20"/>
        </w:rPr>
      </w:pPr>
      <w:r>
        <w:rPr>
          <w:rFonts w:ascii="Times New Roman" w:hAnsi="Times New Roman"/>
          <w:b/>
          <w:sz w:val="20"/>
        </w:rPr>
        <w:t xml:space="preserve">6.750% Junior Subordinated Notes due 2064 </w:t>
      </w:r>
    </w:p>
    <w:p>
      <w:pPr>
        <w:pStyle w:val="TextBody"/>
        <w:bidi w:val="0"/>
        <w:spacing w:before="240" w:after="0"/>
        <w:jc w:val="center"/>
        <w:rPr>
          <w:rFonts w:ascii="Times New Roman" w:hAnsi="Times New Roman"/>
          <w:b/>
          <w:sz w:val="20"/>
        </w:rPr>
      </w:pPr>
      <w:r>
        <w:rPr>
          <w:rFonts w:ascii="Times New Roman" w:hAnsi="Times New Roman"/>
          <w:b/>
          <w:sz w:val="20"/>
        </w:rPr>
        <w:t xml:space="preserve">(Fourth Supplement to the Junior Subordinated Notes Indenture Dated as of March 27, 2019)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FOURTH SUPPLEMENTAL INDENTURE, dated as of March 20, 2024, between Affiliated Managers Group, Inc., a Delaware corporation (herein called the </w:t>
      </w:r>
      <w:r>
        <w:rPr>
          <w:rFonts w:ascii="Times New Roman" w:hAnsi="Times New Roman"/>
          <w:b/>
          <w:sz w:val="20"/>
        </w:rPr>
        <w:t>Company</w:t>
      </w:r>
      <w:r>
        <w:rPr>
          <w:rFonts w:ascii="Times New Roman" w:hAnsi="Times New Roman"/>
          <w:sz w:val="20"/>
        </w:rPr>
        <w:t>), having its principal executive offices at 777 South Flagler Drive, West Palm Beach, Florida, 33401, and U.S. Bank Trust Company, National Association, a national banking association, as Trustee (herein called the </w:t>
      </w:r>
      <w:r>
        <w:rPr>
          <w:rFonts w:ascii="Times New Roman" w:hAnsi="Times New Roman"/>
          <w:b/>
          <w:sz w:val="20"/>
        </w:rPr>
        <w:t>Trustee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Company executed and delivered to the Trustee a Junior Subordinated Notes Indenture, dated as of March 27, 2019 (the </w:t>
      </w:r>
      <w:r>
        <w:rPr>
          <w:rFonts w:ascii="Times New Roman" w:hAnsi="Times New Roman"/>
          <w:b/>
          <w:sz w:val="20"/>
        </w:rPr>
        <w:t>Base Indenture</w:t>
      </w:r>
      <w:r>
        <w:rPr>
          <w:rFonts w:ascii="Times New Roman" w:hAnsi="Times New Roman"/>
          <w:sz w:val="20"/>
        </w:rPr>
        <w:t>), providing for the issuance from time to time of the Companys junior subordinated debt securities (herein and therein called the </w:t>
      </w:r>
      <w:r>
        <w:rPr>
          <w:rFonts w:ascii="Times New Roman" w:hAnsi="Times New Roman"/>
          <w:b/>
          <w:sz w:val="20"/>
        </w:rPr>
        <w:t>Securities</w:t>
      </w:r>
      <w:r>
        <w:rPr>
          <w:rFonts w:ascii="Times New Roman" w:hAnsi="Times New Roman"/>
          <w:sz w:val="20"/>
        </w:rPr>
        <w:t xml:space="preserve">), to be issued in one or more series as provided in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10.1(9) of the Base Indenture permits the Company and the Trustee to enter into an indenture supplemental to the Base Indenture to establish the form and terms of any series of Securities without notice to or consent of any Holder of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2.1(b) of the Base Indenture permits the form of Securities of any series to be established in an indenture supplemental to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Sections 2.1 and 2.3 of the Base Indenture, the Company desires to provide for the establishment of a new series of Securities under the Base Indenture, the form and substance of such series of Securities and the terms, provisions and conditions thereof to be set forth as provided in the Base Indenture and this Fourth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all conditions and requirements necessary to make this Fourth Supplemental Indenture, when executed and delivered, a valid agreement of the Company, in accordance with its terms, have been performed and filled; </w:t>
      </w:r>
    </w:p>
    <w:p>
      <w:pPr>
        <w:pStyle w:val="TextBody"/>
        <w:bidi w:val="0"/>
        <w:spacing w:before="240" w:after="0"/>
        <w:jc w:val="left"/>
        <w:rPr>
          <w:rFonts w:ascii="Times New Roman" w:hAnsi="Times New Roman"/>
          <w:b/>
          <w:sz w:val="20"/>
        </w:rPr>
      </w:pPr>
      <w:r>
        <w:rPr>
          <w:rFonts w:ascii="Times New Roman" w:hAnsi="Times New Roman"/>
          <w:b/>
          <w:sz w:val="20"/>
        </w:rPr>
        <w:t xml:space="preserve">NOW, THEREFORE, WITNESSETH: </w:t>
      </w:r>
    </w:p>
    <w:p>
      <w:pPr>
        <w:pStyle w:val="TextBody"/>
        <w:bidi w:val="0"/>
        <w:spacing w:before="240" w:after="0"/>
        <w:jc w:val="left"/>
        <w:rPr>
          <w:rFonts w:ascii="Times New Roman" w:hAnsi="Times New Roman"/>
          <w:sz w:val="20"/>
        </w:rPr>
      </w:pPr>
      <w:r>
        <w:rPr>
          <w:rFonts w:ascii="Times New Roman" w:hAnsi="Times New Roman"/>
          <w:sz w:val="20"/>
        </w:rPr>
        <w:t>For and in consideration of the premises and the purchase of the Securities established by this Fourth Supplemental Indenture by the holders thereof (the </w:t>
      </w:r>
      <w:r>
        <w:rPr>
          <w:rFonts w:ascii="Times New Roman" w:hAnsi="Times New Roman"/>
          <w:b/>
          <w:sz w:val="20"/>
        </w:rPr>
        <w:t>Holders</w:t>
      </w:r>
      <w:r>
        <w:rPr>
          <w:rFonts w:ascii="Times New Roman" w:hAnsi="Times New Roman"/>
          <w:sz w:val="20"/>
        </w:rPr>
        <w:t xml:space="preserve">), it is mutually agreed, for the equal and proportionate benefit of all such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Relation to Base Indenture</w:t>
      </w:r>
      <w:r>
        <w:rPr>
          <w:rFonts w:ascii="Times New Roman" w:hAnsi="Times New Roman"/>
          <w:sz w:val="20"/>
        </w:rPr>
        <w:t xml:space="preserve">. This Fourth Supplemental Indenture constitutes a part of the Base Indenture (the provisions of which, as modified through this Fourth Supplemental Indenture, shall apply to the series of Securities established by this Fourth Supplemental Indenture) but, except as expressly provided herein, shall not modify, amend or otherwise affect the Base Indenture insofar as it relates to any other series of Securities or, except as expressly provided herein, modify, amend or otherwise affect in any manner the terms and conditions of the Securities of any other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Definitions</w:t>
      </w:r>
      <w:r>
        <w:rPr>
          <w:rFonts w:ascii="Times New Roman" w:hAnsi="Times New Roman"/>
          <w:sz w:val="20"/>
        </w:rPr>
        <w:t xml:space="preserve">. For all purposes of this Fourth Supplemental Indenture, the capitalized terms used herein (i) which are defined in this Section 1.02 have the respective meanings assigned hereto in this Section 1.02 and (ii) which are defined in the Base Indenture (and which are not defined in this Section 1.02) have the respective meanings assigned thereto in the Base Indenture. For all purposes of this Fourth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(a) Unless the context otherwise requires, any reference to an Article or Section refers to an Article or Section, as the case may be, of this Fourth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(b) The words herein, hereof and hereunder and words of similar import refer to this Fourth Supplemental Indenture as a whole and not to any particular Article, Section or other subdivision; and </w:t>
      </w:r>
    </w:p>
    <w:p>
      <w:pPr>
        <w:pStyle w:val="TextBody"/>
        <w:bidi w:val="0"/>
        <w:spacing w:before="120" w:after="0"/>
        <w:jc w:val="left"/>
        <w:rPr>
          <w:rFonts w:ascii="Times New Roman" w:hAnsi="Times New Roman"/>
          <w:sz w:val="20"/>
        </w:rPr>
      </w:pPr>
      <w:r>
        <w:rPr>
          <w:rFonts w:ascii="Times New Roman" w:hAnsi="Times New Roman"/>
          <w:sz w:val="20"/>
        </w:rPr>
        <w:t xml:space="preserve">(c) The terms defined in this Section 1.02(c) have the meanings assigned to them in this Section and include the plural as well as the singular.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Additional Interest</w:t>
      </w:r>
      <w:r>
        <w:rPr>
          <w:rFonts w:ascii="Times New Roman" w:hAnsi="Times New Roman"/>
          <w:sz w:val="20"/>
        </w:rPr>
        <w:t xml:space="preserve"> has the meaning set forth in Section 2.03.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Administrative Action</w:t>
      </w:r>
      <w:r>
        <w:rPr>
          <w:rFonts w:ascii="Times New Roman" w:hAnsi="Times New Roman"/>
          <w:sz w:val="20"/>
        </w:rPr>
        <w:t xml:space="preserve"> means any judicial decision or any official administrative pronouncement, ruling, regulatory procedure, notice or announcement, including any notice or announcement of intent to issue or adopt any administrative pronouncement, ruling, regulatory procedure or regulation.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Depository</w:t>
      </w:r>
      <w:r>
        <w:rPr>
          <w:rFonts w:ascii="Times New Roman" w:hAnsi="Times New Roman"/>
          <w:sz w:val="20"/>
        </w:rPr>
        <w:t xml:space="preserve"> has the meaning set forth in Section 2.01(c).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xml:space="preserve"> means the Base Indenture, as supplemented by this Fourth Supplemental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Interest Payment Date</w:t>
      </w:r>
      <w:r>
        <w:rPr>
          <w:rFonts w:ascii="Times New Roman" w:hAnsi="Times New Roman"/>
          <w:sz w:val="20"/>
        </w:rPr>
        <w:t xml:space="preserve"> has the meaning set forth in Section 2.02(a).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Maturity Date</w:t>
      </w:r>
      <w:r>
        <w:rPr>
          <w:rFonts w:ascii="Times New Roman" w:hAnsi="Times New Roman"/>
          <w:sz w:val="20"/>
        </w:rPr>
        <w:t xml:space="preserve"> means March 30, 2064.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Notes</w:t>
      </w:r>
      <w:r>
        <w:rPr>
          <w:rFonts w:ascii="Times New Roman" w:hAnsi="Times New Roman"/>
          <w:sz w:val="20"/>
        </w:rPr>
        <w:t xml:space="preserve"> has the meaning set forth in Section 2.01(a).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Optional Deferral Period</w:t>
      </w:r>
      <w:r>
        <w:rPr>
          <w:rFonts w:ascii="Times New Roman" w:hAnsi="Times New Roman"/>
          <w:sz w:val="20"/>
        </w:rPr>
        <w:t xml:space="preserve"> has the meaning set forth in Section 2.03.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Original Issue Date</w:t>
      </w:r>
      <w:r>
        <w:rPr>
          <w:rFonts w:ascii="Times New Roman" w:hAnsi="Times New Roman"/>
          <w:sz w:val="20"/>
        </w:rPr>
        <w:t xml:space="preserve"> means March 20, 2024.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 Agency Event</w:t>
      </w:r>
      <w:r>
        <w:rPr>
          <w:rFonts w:ascii="Times New Roman" w:hAnsi="Times New Roman"/>
          <w:sz w:val="20"/>
        </w:rPr>
        <w:t xml:space="preserve"> means that any nationally recognized statistical rating organization within the meaning of Section 3(a)(62) under the Exchange Act that then publishes a rating for the Company (a rating agency) amends, clarifies or changes the criteria it uses to assign equity credit to securities such as the Notes, which amendment, clarification or change results in (a) the shortening of the length of time the Notes are assigned a particular level of equity credit by that rating agency as compared to the length of time the Notes would have been assigned that level of equity credit by that rating agency or its predecessor upon the initial issuance of the Notes; or (b) the lowering of the equity credit (including up to a lesser amount) assigned to the Notes by that rating agency compared to the equity credit assigned by that rating agency or its predecessor upon the initial issuance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Redemption Date</w:t>
      </w:r>
      <w:r>
        <w:rPr>
          <w:rFonts w:ascii="Times New Roman" w:hAnsi="Times New Roman"/>
          <w:sz w:val="20"/>
        </w:rPr>
        <w:t xml:space="preserve">, when used with respect to any Note to be redeemed, means the date fixed for the redemption of such Note by or pursuant to this Fourth Supplemental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Redemption Price</w:t>
      </w:r>
      <w:r>
        <w:rPr>
          <w:rFonts w:ascii="Times New Roman" w:hAnsi="Times New Roman"/>
          <w:sz w:val="20"/>
        </w:rPr>
        <w:t xml:space="preserve">, when used with respect to any Note to be redeemed, means the price at which such Note is to be redeemed pursuant to this Fourth Supplemental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Regular Record Date</w:t>
      </w:r>
      <w:r>
        <w:rPr>
          <w:rFonts w:ascii="Times New Roman" w:hAnsi="Times New Roman"/>
          <w:sz w:val="20"/>
        </w:rPr>
        <w:t xml:space="preserve"> means, with respect to each Interest Payment Date, the close of business (i) on the Business Day immediately preceding such Interest Payment Date in respect of any Notes issued in the form of one or more Global Securities or (ii) on the 15th calendar day preceding such Interest Payment Date in respect of any Notes issued in the form of definitive Note (whether or not a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Securities Rate</w:t>
      </w:r>
      <w:r>
        <w:rPr>
          <w:rFonts w:ascii="Times New Roman" w:hAnsi="Times New Roman"/>
          <w:sz w:val="20"/>
        </w:rPr>
        <w:t xml:space="preserve"> has the meaning set forth in Section 2.02.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Tax Event</w:t>
      </w:r>
      <w:r>
        <w:rPr>
          <w:rFonts w:ascii="Times New Roman" w:hAnsi="Times New Roman"/>
          <w:sz w:val="20"/>
        </w:rPr>
        <w:t xml:space="preserve"> means that the Company shall have received an opinion of counsel experienced in tax matters to the effect that,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(a) any amendment to, clarification of, or change, including any announced prospective change, in the laws or treaties of the United States or any of its political subdivisions or taxing authorities, or any regulations under those laws or treaties; </w:t>
      </w:r>
    </w:p>
    <w:p>
      <w:pPr>
        <w:pStyle w:val="TextBody"/>
        <w:bidi w:val="0"/>
        <w:spacing w:before="120" w:after="0"/>
        <w:jc w:val="left"/>
        <w:rPr>
          <w:rFonts w:ascii="Times New Roman" w:hAnsi="Times New Roman"/>
          <w:sz w:val="20"/>
        </w:rPr>
      </w:pPr>
      <w:r>
        <w:rPr>
          <w:rFonts w:ascii="Times New Roman" w:hAnsi="Times New Roman"/>
          <w:sz w:val="20"/>
        </w:rPr>
        <w:t xml:space="preserve">(b) an Administrative Action; </w:t>
      </w:r>
    </w:p>
    <w:p>
      <w:pPr>
        <w:pStyle w:val="TextBody"/>
        <w:bidi w:val="0"/>
        <w:spacing w:before="120" w:after="0"/>
        <w:jc w:val="left"/>
        <w:rPr>
          <w:rFonts w:ascii="Times New Roman" w:hAnsi="Times New Roman"/>
          <w:sz w:val="20"/>
        </w:rPr>
      </w:pPr>
      <w:r>
        <w:rPr>
          <w:rFonts w:ascii="Times New Roman" w:hAnsi="Times New Roman"/>
          <w:sz w:val="20"/>
        </w:rPr>
        <w:t xml:space="preserve">(c) any amendment to, clarification of, or change in the official position or the interpretation of any Administrative Action or any interpretation or pronouncement that provides for a position with respect to an Administrative Action that differs from the previously generally accepted position, in each case by any legislative body, court, governmental authority or regulatory body, regardless of the time or manner in which that amendment, clarification or change is introduced or made known; or </w:t>
      </w:r>
    </w:p>
    <w:p>
      <w:pPr>
        <w:pStyle w:val="TextBody"/>
        <w:bidi w:val="0"/>
        <w:spacing w:before="120" w:after="0"/>
        <w:jc w:val="left"/>
        <w:rPr>
          <w:rFonts w:ascii="Times New Roman" w:hAnsi="Times New Roman"/>
          <w:sz w:val="20"/>
        </w:rPr>
      </w:pPr>
      <w:r>
        <w:rPr>
          <w:rFonts w:ascii="Times New Roman" w:hAnsi="Times New Roman"/>
          <w:sz w:val="20"/>
        </w:rPr>
        <w:t xml:space="preserve">(d) a threatened challenge asserted in writing in connection with an audit of the Company or an audit of any of the subsidiaries of the Company, or a publicly known threatened challenge asserted in writing against any other taxpayer that has raised capital through the issuance of securities that are substantially similar to the Notes, </w:t>
      </w:r>
    </w:p>
    <w:p>
      <w:pPr>
        <w:pStyle w:val="TextBody"/>
        <w:bidi w:val="0"/>
        <w:spacing w:before="240" w:after="0"/>
        <w:jc w:val="left"/>
        <w:rPr>
          <w:rFonts w:ascii="Times New Roman" w:hAnsi="Times New Roman"/>
          <w:sz w:val="20"/>
        </w:rPr>
      </w:pPr>
      <w:r>
        <w:rPr>
          <w:rFonts w:ascii="Times New Roman" w:hAnsi="Times New Roman"/>
          <w:sz w:val="20"/>
        </w:rPr>
        <w:t xml:space="preserve">which amendment, clarification or change is effective or the Administrative Action is taken or issued, or interpretation or pronouncement is issued or threatened challenge is asserted or becomes publicly known after the Original Issue Date, there is more than an insubstantial risk that interest payable by the Company on the Notes is not deductible, or within 90 days of the date of such opinion would not be deductible, in whole or in part, by the Company for United States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Terms and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Terms of Notes</w:t>
      </w:r>
      <w:r>
        <w:rPr>
          <w:rFonts w:ascii="Times New Roman" w:hAnsi="Times New Roman"/>
          <w:sz w:val="20"/>
        </w:rPr>
        <w:t xml:space="preserve">. Pursuant to Sections 2.1 and 2.3 of the Base Indenture, there is hereby established a series of Securities, the terms of which shall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w:t>
      </w:r>
      <w:r>
        <w:rPr>
          <w:rFonts w:ascii="Times New Roman" w:hAnsi="Times New Roman"/>
          <w:sz w:val="20"/>
        </w:rPr>
        <w:t>. The Securities shall be known and designated, as applicable, as the 6.750% Junior Subordinated Notes due 2064 (the </w:t>
      </w:r>
      <w:r>
        <w:rPr>
          <w:rFonts w:ascii="Times New Roman" w:hAnsi="Times New Roman"/>
          <w:b/>
          <w:sz w:val="20"/>
        </w:rPr>
        <w:t>Notes</w:t>
      </w:r>
      <w:r>
        <w:rPr>
          <w:rFonts w:ascii="Times New Roman" w:hAnsi="Times New Roman"/>
          <w:sz w:val="20"/>
        </w:rPr>
        <w:t xml:space="preserve">) of the Company. The CUSIP number of the Notes is 008252 827 and the ISIN number of the Notes is US0082528276.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Principal Amount</w:t>
      </w:r>
      <w:r>
        <w:rPr>
          <w:rFonts w:ascii="Times New Roman" w:hAnsi="Times New Roman"/>
          <w:sz w:val="20"/>
        </w:rPr>
        <w:t xml:space="preserve">. The aggregate principal amount of the Notes shall initially be $450,000,000. The Company may at any time issue additional securities under the Indenture in unlimited amounts having the same terms (except for the issue date, issue price and, in some cases, the first interest accrual date and first interest payment date) as the Notes (except as otherwise provided in the Indenture) so that such additional securities shall be consolidated with the Notes, including for purposes of voting and redemption;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will use a separate CUSIP for any such additional securities that are not fungible with the original Notes for U.S. federal income tax purposes. Any such additional securities shall, together with the outstanding Notes, constitute a single series of debt securities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and Denominations</w:t>
      </w:r>
      <w:r>
        <w:rPr>
          <w:rFonts w:ascii="Times New Roman" w:hAnsi="Times New Roman"/>
          <w:sz w:val="20"/>
        </w:rPr>
        <w:t>. The Notes will be issued only in fully registered form, and the authorized minimum denominations of the Notes shall be $25 and integral multiples of $25 in excess thereof. The Notes will initially be issued in the form of one or more Global Securities substantially in the form of Annex A attached hereto, with such modifications thereto as may be approved by the Officer executing the same, which shall be deposited on behalf of the purchasers of the Notes represented thereby with the Trustee as custodian for The Depository Trust Company (the </w:t>
      </w:r>
      <w:r>
        <w:rPr>
          <w:rFonts w:ascii="Times New Roman" w:hAnsi="Times New Roman"/>
          <w:b/>
          <w:sz w:val="20"/>
        </w:rPr>
        <w:t>Depository</w:t>
      </w:r>
      <w:r>
        <w:rPr>
          <w:rFonts w:ascii="Times New Roman" w:hAnsi="Times New Roman"/>
          <w:sz w:val="20"/>
        </w:rPr>
        <w:t xml:space="preserve">) and registered in the name of Cede &amp; Co., the Depositorys nominee, duly executed by the Company, and, upon receipt of a Company Order, authenticated by the Trustee. In limited circumstances, the Notes may be represented by notes in certificated form. The Notes will be denominated in U.S. Dollars and payments of principal and interest will be made in U.S. Dollars.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Sinking Fund; Holder Repurchase Right</w:t>
      </w:r>
      <w:r>
        <w:rPr>
          <w:rFonts w:ascii="Times New Roman" w:hAnsi="Times New Roman"/>
          <w:sz w:val="20"/>
        </w:rPr>
        <w:t xml:space="preserve">. The Notes shall not be subject to any sinking fund or analogous provision or be redeemable at the option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Forms</w:t>
      </w:r>
      <w:r>
        <w:rPr>
          <w:rFonts w:ascii="Times New Roman" w:hAnsi="Times New Roman"/>
          <w:sz w:val="20"/>
        </w:rPr>
        <w:t xml:space="preserve">. The Notes shall be substantially in the form of Annex A attached hereto, with such modifications thereto as may be approved by the Officer executing the same.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Security Registrar, Paying Agent and Place of Payment</w:t>
      </w:r>
      <w:r>
        <w:rPr>
          <w:rFonts w:ascii="Times New Roman" w:hAnsi="Times New Roman"/>
          <w:sz w:val="20"/>
        </w:rPr>
        <w:t xml:space="preserve">. The Company hereby appoints U.S. Bank Trust Company, National Association as Security Registrar and Paying Agent with respect to the Notes. The Notes may be surrendered for registration of transfer and for exchange at the Corporate Trust Office of the Trustee or at any other office or agency maintained by the Company for such purpose. The place of payment for the Notes shall be the Corporate Trust Office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Subordination</w:t>
      </w:r>
      <w:r>
        <w:rPr>
          <w:rFonts w:ascii="Times New Roman" w:hAnsi="Times New Roman"/>
          <w:sz w:val="20"/>
        </w:rPr>
        <w:t xml:space="preserve">. The subordination provisions of the Base Indenture, including the provisions contained in Article XII and the definition of Senior Indebtedness set forth in Section 1.1, shall apply to the Notes.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Defeasance</w:t>
      </w:r>
      <w:r>
        <w:rPr>
          <w:rFonts w:ascii="Times New Roman" w:hAnsi="Times New Roman"/>
          <w:sz w:val="20"/>
        </w:rPr>
        <w:t xml:space="preserve">. The Notes shall be defeasible pursuant to both Sections 11.3 and 11.4 of the Base Indenture, and the provisions of Article XI of the Base Indenture shall apply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Payment of Principal and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principal of the Notes shall be due on the Maturity Date (unless earlier redeemed). The unpaid principal amount of the Notes shall bear interest at the rate of 6.750% per annum (the </w:t>
      </w:r>
      <w:r>
        <w:rPr>
          <w:rFonts w:ascii="Times New Roman" w:hAnsi="Times New Roman"/>
          <w:b/>
          <w:sz w:val="20"/>
        </w:rPr>
        <w:t>Securities Rate</w:t>
      </w:r>
      <w:r>
        <w:rPr>
          <w:rFonts w:ascii="Times New Roman" w:hAnsi="Times New Roman"/>
          <w:sz w:val="20"/>
        </w:rPr>
        <w:t>) from the Original Issue Date. Subject to Section 2.03, interest on the Notes shall be payable quarterly in arrears on March 30, June 30, September 30 and December 30 of each year, beginning June 30, 2024 (each such date, an </w:t>
      </w:r>
      <w:r>
        <w:rPr>
          <w:rFonts w:ascii="Times New Roman" w:hAnsi="Times New Roman"/>
          <w:b/>
          <w:sz w:val="20"/>
        </w:rPr>
        <w:t>Interest Payment Date</w:t>
      </w:r>
      <w:r>
        <w:rPr>
          <w:rFonts w:ascii="Times New Roman" w:hAnsi="Times New Roman"/>
          <w:sz w:val="20"/>
        </w:rPr>
        <w:t xml:space="preserve">), to the Person in whose name the Notes are registered at the close of business on the Regular Record Date for such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(b) Payments of interest on the Notes will include interest accrued to but excluding the respective Interest Payment Dates. Interest payments for the Notes shall be computed on the basis of a 360-day year of twelve 30-day months. In the event that any date on which interest is payable on the Notes is not a Business Day, then payment of the interest payable on such date will be made on the next succeeding day that is a Business Day (and without any interest or other payment in respect of any such delay), with the same force and effect as if made on the date the payment was originally payable.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Deferral of Interest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may, at its option, on one or more occasions, defer payment of all or part of the current and accrued interest otherwise due on the Notes by extending the interest payment period for up to 20 consecutive quarterly periods (each period, commencing on the date that the first such interest payment would otherwise have been made, an </w:t>
      </w:r>
      <w:r>
        <w:rPr>
          <w:rFonts w:ascii="Times New Roman" w:hAnsi="Times New Roman"/>
          <w:b/>
          <w:sz w:val="20"/>
        </w:rPr>
        <w:t>Optional Deferral Period</w:t>
      </w:r>
      <w:r>
        <w:rPr>
          <w:rFonts w:ascii="Times New Roman" w:hAnsi="Times New Roman"/>
          <w:sz w:val="20"/>
        </w:rPr>
        <w:t>). A deferral of interest payments may not extend beyond the Maturity Date or end on a day other than an Interest Payment Date. Any deferred interest on the Notes will accrue additional interest at the Securities Rate from the applicable Interest Payment Date to the date of payment, compounded quarterly (such deferred interest and additional interest accrued thereon, </w:t>
      </w:r>
      <w:r>
        <w:rPr>
          <w:rFonts w:ascii="Times New Roman" w:hAnsi="Times New Roman"/>
          <w:b/>
          <w:sz w:val="20"/>
        </w:rPr>
        <w:t>Additional Interest</w:t>
      </w:r>
      <w:r>
        <w:rPr>
          <w:rFonts w:ascii="Times New Roman" w:hAnsi="Times New Roman"/>
          <w:sz w:val="20"/>
        </w:rPr>
        <w:t xml:space="preserve">), to the extent permitted under applicable law. No interest shall be due and payable on the Notes until the end of an Optional Deferral Period, except upon a redemption of the Notes during such Optional Deferral Period. </w:t>
      </w:r>
    </w:p>
    <w:p>
      <w:pPr>
        <w:pStyle w:val="TextBody"/>
        <w:bidi w:val="0"/>
        <w:spacing w:before="120" w:after="0"/>
        <w:jc w:val="left"/>
        <w:rPr>
          <w:rFonts w:ascii="Times New Roman" w:hAnsi="Times New Roman"/>
          <w:sz w:val="20"/>
        </w:rPr>
      </w:pPr>
      <w:r>
        <w:rPr>
          <w:rFonts w:ascii="Times New Roman" w:hAnsi="Times New Roman"/>
          <w:sz w:val="20"/>
        </w:rPr>
        <w:t xml:space="preserve">(b) Prior to the termination of any Optional Deferral Period, the Company may further defer the payment of interest by extending such Optional Deferral Period; provided that such Optional Deferral Period together with all such previous and further deferrals of interest payments shall not exceed 20 consecutive quarterly periods at any one time or extend beyond the Maturity Date. Upon the termination of any Optional Deferral Period or on any Redemption Date, the Company shall pay all interest accrued and unpaid on the Notes, including any Additional Interest, (i) to the Person in whose name the Notes are registered on the Regular Record Date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Payment Date; </w:t>
      </w:r>
      <w:r>
        <w:rPr>
          <w:rFonts w:ascii="Times New Roman" w:hAnsi="Times New Roman"/>
          <w:sz w:val="20"/>
          <w:u w:val="single"/>
        </w:rPr>
        <w:t>provided</w:t>
      </w:r>
      <w:r>
        <w:rPr>
          <w:rFonts w:ascii="Times New Roman" w:hAnsi="Times New Roman"/>
          <w:sz w:val="20"/>
        </w:rPr>
        <w:t xml:space="preserve"> that interest accrued and unpaid on the Notes, including any Additional Interest, payable at the Maturity Date or on any Redemption Date will be paid to the Person to whom principal is payable, or (ii) to the Person entitled to receive the Redemption Price in accordance with Article III of the Base Indenture. Once the Company pays all interest accrued and unpaid on the Notes, including any Additional Interest, it shall be entitled again to defer interest payments on the Notes as described above. </w:t>
      </w:r>
    </w:p>
    <w:p>
      <w:pPr>
        <w:pStyle w:val="TextBody"/>
        <w:bidi w:val="0"/>
        <w:spacing w:before="120" w:after="0"/>
        <w:jc w:val="left"/>
        <w:rPr>
          <w:rFonts w:ascii="Times New Roman" w:hAnsi="Times New Roman"/>
          <w:sz w:val="20"/>
        </w:rPr>
      </w:pPr>
      <w:r>
        <w:rPr>
          <w:rFonts w:ascii="Times New Roman" w:hAnsi="Times New Roman"/>
          <w:sz w:val="20"/>
        </w:rPr>
        <w:t>(c) During an Optional Deferral Period, subject to Section 2.03(d), the Company shall not (i) declare or pay any dividend or make any distributions, or redeem, purchase, acquire or make a liquidation payment with respect to, any of its Capital Stock, or (ii) make any payment of interest on, principal of or premium, if any, on or repay, repurchase or redeem any debt securities (including guarantees) issued by the Company which rank equally (</w:t>
      </w:r>
      <w:r>
        <w:rPr>
          <w:rFonts w:ascii="Times New Roman" w:hAnsi="Times New Roman"/>
          <w:b/>
          <w:sz w:val="20"/>
        </w:rPr>
        <w:t>pari passu securities</w:t>
      </w:r>
      <w:r>
        <w:rPr>
          <w:rFonts w:ascii="Times New Roman" w:hAnsi="Times New Roman"/>
          <w:sz w:val="20"/>
        </w:rPr>
        <w:t>) or junior (</w:t>
      </w:r>
      <w:r>
        <w:rPr>
          <w:rFonts w:ascii="Times New Roman" w:hAnsi="Times New Roman"/>
          <w:b/>
          <w:sz w:val="20"/>
        </w:rPr>
        <w:t>junior securities</w:t>
      </w:r>
      <w:r>
        <w:rPr>
          <w:rFonts w:ascii="Times New Roman" w:hAnsi="Times New Roman"/>
          <w:sz w:val="20"/>
        </w:rPr>
        <w:t xml:space="preserve">), in each case, in right of payment to the Notes. </w:t>
      </w:r>
    </w:p>
    <w:p>
      <w:pPr>
        <w:pStyle w:val="TextBody"/>
        <w:bidi w:val="0"/>
        <w:spacing w:before="120" w:after="0"/>
        <w:jc w:val="left"/>
        <w:rPr>
          <w:rFonts w:ascii="Times New Roman" w:hAnsi="Times New Roman"/>
          <w:sz w:val="20"/>
        </w:rPr>
      </w:pPr>
      <w:r>
        <w:rPr>
          <w:rFonts w:ascii="Times New Roman" w:hAnsi="Times New Roman"/>
          <w:sz w:val="20"/>
        </w:rPr>
        <w:t xml:space="preserve">(d) Section 2.03(c) shall not restrict: </w:t>
      </w:r>
    </w:p>
    <w:p>
      <w:pPr>
        <w:pStyle w:val="TextBody"/>
        <w:bidi w:val="0"/>
        <w:spacing w:before="120" w:after="0"/>
        <w:jc w:val="left"/>
        <w:rPr>
          <w:rFonts w:ascii="Times New Roman" w:hAnsi="Times New Roman"/>
          <w:sz w:val="20"/>
        </w:rPr>
      </w:pPr>
      <w:r>
        <w:rPr>
          <w:rFonts w:ascii="Times New Roman" w:hAnsi="Times New Roman"/>
          <w:sz w:val="20"/>
        </w:rPr>
        <w:t xml:space="preserve">(i) any of the actions described in Section 2.03(c) resulting from any reclassification of the Companys Capital Stock or the exchange or conversion of one class or series of the Companys Capital Stock for another class or series of the Companys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(ii) the purchase of fractional interests in shares of the Companys Capital Stock pursuant to an acquisition or the conversion or exchange provisions of such Capital Stock or the security being converted or exchanged, </w:t>
      </w:r>
    </w:p>
    <w:p>
      <w:pPr>
        <w:pStyle w:val="TextBody"/>
        <w:bidi w:val="0"/>
        <w:spacing w:before="120" w:after="0"/>
        <w:jc w:val="left"/>
        <w:rPr>
          <w:rFonts w:ascii="Times New Roman" w:hAnsi="Times New Roman"/>
          <w:sz w:val="20"/>
        </w:rPr>
      </w:pPr>
      <w:r>
        <w:rPr>
          <w:rFonts w:ascii="Times New Roman" w:hAnsi="Times New Roman"/>
          <w:sz w:val="20"/>
        </w:rPr>
        <w:t xml:space="preserve">(iii) dividends, payments or distributions payable in shares of Capital Stock or warrants, options or rights to acquire the Companys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(iv) redemptions, purchases or other acquisitions of shares of Capital Stock in connection with any employment contract, incentive plan, benefit plan or other similar arrangement of the Company or any of its subsidiaries or in connection with a dividend reinvestment or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(v) any declaration of a dividend in connection with implementation of any stockholders rights plan, or the issuance of rights, stock or other property under any such plan, or the redemption, repurchase or other acquisition of any such rights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(vi) redemptions, purchases or other acquisitions of shares of Capital Stock in connection with the satisfaction of the Companys obligations pursuant to any contract entered into prior to the beginning of the applicable Optional Deferral Period, </w:t>
      </w:r>
    </w:p>
    <w:p>
      <w:pPr>
        <w:pStyle w:val="TextBody"/>
        <w:bidi w:val="0"/>
        <w:spacing w:before="120" w:after="0"/>
        <w:jc w:val="left"/>
        <w:rPr>
          <w:rFonts w:ascii="Times New Roman" w:hAnsi="Times New Roman"/>
          <w:sz w:val="20"/>
        </w:rPr>
      </w:pPr>
      <w:r>
        <w:rPr>
          <w:rFonts w:ascii="Times New Roman" w:hAnsi="Times New Roman"/>
          <w:sz w:val="20"/>
        </w:rPr>
        <w:t xml:space="preserve">(vii) (x) any payment of current or deferred interest (or setting aside a sum sufficient for the payment thereof) on any pari passu securities that is made pro rata to the amounts due on such pari passu securities and the Notes and (y) any payment of principal or current or deferred interest on pari passu securities that, if not made, would cause the Company to breach the terms of the instrument governing such pari passu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payment of any dividend or distribution on the Companys Capital Stock within 30 days after the date of declaration of such dividend or distribution, if the dividend or distribution would have been permitted under the Indenture on the date of declaration, </w:t>
      </w:r>
    </w:p>
    <w:p>
      <w:pPr>
        <w:pStyle w:val="TextBody"/>
        <w:bidi w:val="0"/>
        <w:spacing w:before="120" w:after="0"/>
        <w:jc w:val="left"/>
        <w:rPr>
          <w:rFonts w:ascii="Times New Roman" w:hAnsi="Times New Roman"/>
          <w:sz w:val="20"/>
        </w:rPr>
      </w:pPr>
      <w:r>
        <w:rPr>
          <w:rFonts w:ascii="Times New Roman" w:hAnsi="Times New Roman"/>
          <w:sz w:val="20"/>
        </w:rPr>
        <w:t xml:space="preserve">(ix) any exchange, redemption, repayment, repurchase or conversion of any of the Companys indebtedness that ranks equal to or junior in right of payment with the Notes for (x) any class or series of the Companys Capital Stock, (y) warrants, options or rights to acquire the Companys Capital Stock, other than any convertible debt, or (z) evidences of indebtedness or other obligations of the Company that rank equal to or junior in right of payment with the Notes, including any such indebtedness convertible into the Companys Capital Stock, or </w:t>
      </w:r>
    </w:p>
    <w:p>
      <w:pPr>
        <w:pStyle w:val="TextBody"/>
        <w:bidi w:val="0"/>
        <w:spacing w:before="120" w:after="0"/>
        <w:jc w:val="left"/>
        <w:rPr>
          <w:rFonts w:ascii="Times New Roman" w:hAnsi="Times New Roman"/>
          <w:sz w:val="20"/>
        </w:rPr>
      </w:pPr>
      <w:r>
        <w:rPr>
          <w:rFonts w:ascii="Times New Roman" w:hAnsi="Times New Roman"/>
          <w:sz w:val="20"/>
        </w:rPr>
        <w:t xml:space="preserve">(x) the redemption of pari passu securities or junior securities within 60 days after the date on which notice of redemption was given, if at the time the notice was given, such redemption would have been permitted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provide written notice of its selection or extension of an Optional Deferral Period to a Responsible Officer of the Trustee at least 10 Business Days and not more than 60 Business Days prior to the earlier of (i) the next applicable Interest Payment Date or (ii) the date, if any, upon which the Company is required to give notice of such Interest Payment Date or the Regular Record Date thereof to the New York Stock Exchange or any applicable self-regulatory organization. In addition, the Company shall deliver to the Trustee an Officers Certificate stating whether or not a Default or Event of Default shall have occurred and be continuing. Subject to the delivery of the Officers Certificate described in the immediately preceding sentence, the Trustee shall forward such written notice promptly to the Holders of the Notes as provided in Section 1.6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Redemption at the Companys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and from time to time on or after March 30, 2029, the Notes will be subject to redemption at the option of the Company in whole or in part upon not less than 10 nor more than 60 days notice, at a Redemption Price equal to 100% of the principal amount of the Notes being redeemed plus accrued and unpaid interest (including any Additional Interest) on the Notes being redeemed to, but excluding,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(b) At any time prior to March 30, 2029, the Company may redeem the Notes, in whole but not in part, upon not less than 10 nor more than 60 days notice following the occurrence of a Tax Event, at a Redemption Price equal to 100% of the principal amount to be redeemed plus any accrued but unpaid interest (including any Additional Interest) to, but excluding,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(c) At any time prior to March 30, 2029, the Company may redeem the Notes, in whole but not in part, upon not less than 10 nor more than 60 days notice, given within the 90 days after the occurrence of a Rating Agency Event, at a Redemption Price equal to 102% of the principal amount to be redeemed plus any accrued but unpaid interest (including any Additional Interest) to, but excluding,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of redemption of the Notes in part only, a new Note or Notes for the unredeemed portion will be issued in the name or names of the Holders thereof upon the surrender thereof. </w:t>
      </w:r>
    </w:p>
    <w:p>
      <w:pPr>
        <w:pStyle w:val="TextBody"/>
        <w:bidi w:val="0"/>
        <w:spacing w:before="120" w:after="0"/>
        <w:jc w:val="left"/>
        <w:rPr>
          <w:rFonts w:ascii="Times New Roman" w:hAnsi="Times New Roman"/>
          <w:sz w:val="20"/>
        </w:rPr>
      </w:pPr>
      <w:r>
        <w:rPr>
          <w:rFonts w:ascii="Times New Roman" w:hAnsi="Times New Roman"/>
          <w:sz w:val="20"/>
        </w:rPr>
        <w:t xml:space="preserve">(e) Notice of redemption shall be given as provided in Section 3.4 of the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(f) Any redemption of less than all of the Notes shall, with respect to the principal thereof, be divisible by $25.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the benefit of the Holders of the Notes and for purposes of this Fourth Supplemental Indenture only, Section 7.1 of the Base Indenture shall be amended and restated in its entirety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wherever used herein with respect to the Notes,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or occasioned by the operation of Article XII of the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(1) 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(2) 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the Company of an assignment for the benefit of creditors, or the admission by the Company in writing of its inability to pay its debts generally as they become due, or the taking of corporate action by the Company in furtherance of any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 respect to the Notes, and for purposes of this Section 7.1, the term </w:t>
      </w:r>
      <w:r>
        <w:rPr>
          <w:rFonts w:ascii="Times New Roman" w:hAnsi="Times New Roman"/>
          <w:b/>
          <w:sz w:val="20"/>
        </w:rPr>
        <w:t>Default</w:t>
      </w:r>
      <w:r>
        <w:rPr>
          <w:rFonts w:ascii="Times New Roman" w:hAnsi="Times New Roman"/>
          <w:sz w:val="20"/>
        </w:rPr>
        <w:t xml:space="preserve"> means the following events: (a) default in the payment of any interest upon any of the Notes when due and payable on an Interest Payment Date other than at Maturity, including Additional Interest in respect thereof, and continuance of such default for a period of 30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valid extension of the interest payment period by the Company pursuant to the terms of the Indenture shall not constitute a default in the payment of interest for this purpose, (b) default in the payment of the principal of (or premium, if any), or interest (including Additional Interest) on, the Notes when due and payable at Maturity or earlier redemption or (c) default in the performance or breach of any covenant or warranty of the Company in the Indenture (other than a covenant or warranty a default in whose performance or whose breach is addressed in clause (a) or (b) of this paragraph), and continuance of such default or breach for a period of 90 days after there has been given, by registered or certified mail, to the Company by the Trustee, or to the Company and the Trustee by the Holders of at least 25% in principal amount of the outstanding Notes, a written notice specifying such default or breach and requiring it to be remedied and stating that such notice is a Notice of Covenant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and continuance of a Default, the Trustee and the Holders of the Notes will have the same rights and remedies, and will be subject to the same limitations, restrictions, protections and exculpations, and the Company will be subject to the same obligations and restrictions, in each case, as would apply if such Default was an Event of Default or an event which after notice or lapse of time or both would become an Event of Default; </w:t>
      </w:r>
      <w:r>
        <w:rPr>
          <w:rFonts w:ascii="Times New Roman" w:hAnsi="Times New Roman"/>
          <w:sz w:val="20"/>
          <w:u w:val="single"/>
        </w:rPr>
        <w:t>provided</w:t>
      </w:r>
      <w:r>
        <w:rPr>
          <w:rFonts w:ascii="Times New Roman" w:hAnsi="Times New Roman"/>
          <w:sz w:val="20"/>
        </w:rPr>
        <w:t xml:space="preserve"> that the principal of and accrued and unpaid interest (including Additional Interest) on the Notes may not be declared immediately due and payable by reason of the occurrence and continuation of a Default, and any notice of declaration or acceleration based on such Default will be null and void with respect to the Notes;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case a Default has occurred and is continuing, the Trustee will not be subject to the requirement to exercise, in respect of the rights and powers vested in it by the Indenture, the same degree of care as a prudent Person would exercise in the conduct of such Persons own affairs, unless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If there occurs a Default specified in clauses (a) or (b) of the second preceding paragraph, the Trustee may or, if directed by the Holders of a majority in principal amount of the Notes then outstanding, shall, subject to the provisions of the Indenture, demand payment of the amount then due and payable and may institute judicial proceedings for the collection of such amount if the Company fails to make payment thereof upon demand.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right or obligation under the Indenture or otherwise to exercise any remedies on behalf of any Holders of the Notes in connection with any default, unless such remedies are available under the Indenture and the Trustee is directed to exercise such remedies pursuant to and subject to the conditions of Section 7.12 of the Base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provision shall not affect the rights of the Trustee with respect to any Events of Default as set forth in Section 7.1 of the Base Indenture that may occur with respect to the Notes. In connection with any such exercise of remedies, the Trustee shall be entitled to the same immunities and protections and remedial rights (other than acceleration) as if such Default were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provisions of Section 8.3(i) of the Base Indenture, the Trustee shall not be deemed to have knowledge of an Event of Default hereunder unless a Responsible Officer of the Trustee has received written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(b) For the benefit of the Holders of the Notes and for purposes of this Fourth Supplemental Indenture only, Section 7.2 of the Base Indenture shall be amended and restated in its entirety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the principal of and accrued and unpaid interest (including Additional Interest) on the Notes shall be immediately due and payable without declaration or other act on the part of the Trustee or any Holder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Officer</w:t>
      </w:r>
      <w:r>
        <w:rPr>
          <w:rFonts w:ascii="Times New Roman" w:hAnsi="Times New Roman"/>
          <w:sz w:val="20"/>
        </w:rPr>
        <w:t xml:space="preserve">. For purposes of this Fourth Supplemental Indenture and all supplemental indentures subsequent to the date of the Fourth Supplemental Indenture, the defined term Officer in Section 1.1 of the Base Indenture shall be amended and restated in its entirety as follows: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w:t>
      </w:r>
      <w:r>
        <w:rPr>
          <w:rFonts w:ascii="Times New Roman" w:hAnsi="Times New Roman"/>
          <w:sz w:val="20"/>
        </w:rPr>
        <w:t xml:space="preserve"> shall mean any of the Chief Executive Officer, the President, the Chief Financial Officer, the General Counsel, the Chief Administrative Officer, the Secretary, an Executive Vice President, a Senior Vice President or a Vice President or Managing Director (or the equivalent thereof)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referenced in Section 10.1(15) of the Base Indenture, without the consent of or notice to any Holders, the Company and the Trustee (at the direction of the Company) at any time and from time to time, may enter into one or more indentures supplemental to the Base Indenture (including any related opinions, certificates and ancillary documents), in form reasonably satisfactory to the Trustee, to conform the terms of the Base Indenture, this Fourth Supplemental Indenture or the Notes to the description thereof in the Companys prospectus supplement dated March 14, 2024 relating to the Notes.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Relationship to Existing Base Indenture</w:t>
      </w:r>
      <w:r>
        <w:rPr>
          <w:rFonts w:ascii="Times New Roman" w:hAnsi="Times New Roman"/>
          <w:sz w:val="20"/>
        </w:rPr>
        <w:t xml:space="preserve">. This Fourth Supplemental Indenture is a supplemental indenture within the meaning of the Base Indenture. The Base Indenture, as supplemented and amended through this Fourth Supplemental Indenture, is in all respects ratified, confirmed and approved and, with respect to the Notes, the Base Indenture, as supplemented and amended through this Fourth Supplemental Indenture, shall be read, taken and construed as one and the same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Modification of the Existing Base Indenture</w:t>
      </w:r>
      <w:r>
        <w:rPr>
          <w:rFonts w:ascii="Times New Roman" w:hAnsi="Times New Roman"/>
          <w:sz w:val="20"/>
        </w:rPr>
        <w:t xml:space="preserve">. Except as expressly modified through this Fourth Supplemental Indenture, the provisions of the Base Indenture shall govern the terms and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Governing Law</w:t>
      </w:r>
      <w:r>
        <w:rPr>
          <w:rFonts w:ascii="Times New Roman" w:hAnsi="Times New Roman"/>
          <w:sz w:val="20"/>
        </w:rPr>
        <w:t xml:space="preserve">. This instrument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Counterparts and Electronic Signatures</w:t>
      </w:r>
      <w:r>
        <w:rPr>
          <w:rFonts w:ascii="Times New Roman" w:hAnsi="Times New Roman"/>
          <w:sz w:val="20"/>
        </w:rPr>
        <w:t xml:space="preserve">. This instrument may be executed in any number of counterparts, each of which so executed shall be deemed to be an original, but all such counterparts shall together constitute but one and the same instrument. The words execution, signed, signature, and words of like import in this Fourth Supplemental Indenture or in any other certificate, agreement or document related to this Fourth Supplemental Indenture or the Notes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Makes No Representation</w:t>
      </w:r>
      <w:r>
        <w:rPr>
          <w:rFonts w:ascii="Times New Roman" w:hAnsi="Times New Roman"/>
          <w:sz w:val="20"/>
        </w:rPr>
        <w:t xml:space="preserve">. The recitals contained herein are made by the Company and not by the Trustee, and the Trustee assumes no responsibility for the correctness thereof. The Trustee makes no representation as to the validity or sufficiency of this Fourth Supplemental Indenture (except for its execution thereof and its certificates of authentication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Agreement by Holders to Certain Tax Treatment</w:t>
      </w:r>
      <w:r>
        <w:rPr>
          <w:rFonts w:ascii="Times New Roman" w:hAnsi="Times New Roman"/>
          <w:sz w:val="20"/>
        </w:rPr>
        <w:t xml:space="preserve">. Each Holder of the Notes will, by accepting the Notes or a beneficial interest therein, be deemed to have agreed that the Holder intends that the Notes constitute indebtedness and will treat the Notes as indebtedness for U.S. federal, state and local tax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Waiver of Jury Trial</w:t>
      </w:r>
      <w:r>
        <w:rPr>
          <w:rFonts w:ascii="Times New Roman" w:hAnsi="Times New Roman"/>
          <w:sz w:val="20"/>
        </w:rPr>
        <w:t xml:space="preserve">. EACH OF THE COMPANY AND THE TRUSTEE HEREBY, AND EACH HOLDER OF THE NOTES BY ITS ACCEPTANCE THEREOF, IRREVOCABLY WAIVES, TO THE FULLEST EXTENT PERMITTED BY APPLICABLE LAW, ANY AND ALL RIGHT TO TRIAL BY JURY IN A LEGAL PROCEEDING ARISING OUT OF OR RELATING TO THIS FOURTH SUPPLEMENTAL INDENTURE, THE SECURITIES OF THE TRANSACTION CONTEMPLATED 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Fourth Supplemental Indenture to be duly executed as of the date first written above. </w:t>
      </w:r>
    </w:p>
    <w:p>
      <w:pPr>
        <w:pStyle w:val="TextBody"/>
        <w:bidi w:val="0"/>
        <w:spacing w:before="0" w:after="0"/>
        <w:jc w:val="left"/>
        <w:rPr/>
      </w:pPr>
      <w:r>
        <w:rPr/>
        <w:t> </w:t>
      </w:r>
    </w:p>
    <w:tbl>
      <w:tblPr>
        <w:tblW w:w="4695" w:type="dxa"/>
        <w:jc w:val="right"/>
        <w:tblInd w:w="0" w:type="dxa"/>
        <w:tblLayout w:type="fixed"/>
        <w:tblCellMar>
          <w:top w:w="0" w:type="dxa"/>
          <w:left w:w="0" w:type="dxa"/>
          <w:bottom w:w="0" w:type="dxa"/>
          <w:right w:w="0" w:type="dxa"/>
        </w:tblCellMar>
      </w:tblPr>
      <w:tblGrid>
        <w:gridCol w:w="305"/>
        <w:gridCol w:w="60"/>
        <w:gridCol w:w="590"/>
        <w:gridCol w:w="60"/>
        <w:gridCol w:w="36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4695" w:type="dxa"/>
            <w:gridSpan w:val="5"/>
            <w:tcBorders/>
          </w:tcPr>
          <w:p>
            <w:pPr>
              <w:pStyle w:val="TableContents"/>
              <w:bidi w:val="0"/>
              <w:spacing w:before="0" w:after="283"/>
              <w:jc w:val="left"/>
              <w:rPr>
                <w:b/>
              </w:rPr>
            </w:pPr>
            <w:r>
              <w:rPr>
                <w:b/>
              </w:rPr>
              <w:t>AFFILIATED MANAGERS GROUP,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390" w:type="dxa"/>
            <w:gridSpan w:val="4"/>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33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Kavita Padiyar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680" w:type="dxa"/>
            <w:tcBorders/>
          </w:tcPr>
          <w:p>
            <w:pPr>
              <w:pStyle w:val="TableContents"/>
              <w:bidi w:val="0"/>
              <w:spacing w:before="0" w:after="283"/>
              <w:jc w:val="left"/>
              <w:rPr/>
            </w:pPr>
            <w:r>
              <w:rPr/>
              <w:t>Kavita Padiyar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Managing Director, Chief Corporate Counsel,</w:t>
            </w:r>
          </w:p>
          <w:p>
            <w:pPr>
              <w:pStyle w:val="TableContents"/>
              <w:bidi w:val="0"/>
              <w:spacing w:before="0" w:after="20"/>
              <w:jc w:val="left"/>
              <w:rPr>
                <w:rFonts w:ascii="Times New Roman" w:hAnsi="Times New Roman"/>
                <w:sz w:val="20"/>
              </w:rPr>
            </w:pPr>
            <w:r>
              <w:rPr>
                <w:rFonts w:ascii="Times New Roman" w:hAnsi="Times New Roman"/>
                <w:sz w:val="20"/>
              </w:rPr>
              <w:t>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U.S. BANK TRUST COMPANY, NATIONAL ASSOCIATION,</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W. Doucette</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David W. Doucette</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left"/>
        <w:rPr>
          <w:rFonts w:ascii="Times New Roman" w:hAnsi="Times New Roman"/>
          <w:sz w:val="20"/>
        </w:rPr>
      </w:pPr>
      <w:r>
        <w:rPr>
          <w:rFonts w:ascii="Times New Roman" w:hAnsi="Times New Roman"/>
          <w:sz w:val="20"/>
        </w:rPr>
        <w:t xml:space="preserve">THIS NOTE IS A GLOBAL SECURITY WITHIN THE MEANING OF THE INDENTURE HEREINAFTER REFERRED TO AND IS REGISTERED IN THE NAME OF THE DEPOSITORY (AS DEFINED IN THE INDENTURE) OR A NOMINEE OF THE DEPOSITORY. THIS GLOBAL SECURITY IS EXCHANGEABLE FOR SECURITIES REGISTERED IN THE NAME OF ANY PERSON OTHER THAN THE DEPOSITORY OR ITS NOMINEE ONLY IN THE LIMITED CIRCUMSTANCES DESCRIBED IN THE INDENTURE, AND, UNLESS AND UNTIL IT IS EXCHANGED IN WHOLE AND IN PART FOR SECURITIES IN DEFINITIVE FORM, MAY NOT BE TRANSFERRED EXCEPT AS A WHOLE BY THE DEPOSITORY TO A NOMINEE OF THE DEPOSITORY, BY A NOMINEE OF THE DEPOSITORY TO THE DEPOSITORY OR ANOTHER NOMINEE OF THE DEPOSITORY OR BY THE DEPOSITORY OR ANY SUCH NOMINEE TO A SUCCESSOR DEPOSITORY OR A NOMINEE OF SUCH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COMPANY (AS DEFINED BELOW)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AFFILIATED MANAGERS GROUP, INC. </w:t>
      </w:r>
    </w:p>
    <w:p>
      <w:pPr>
        <w:pStyle w:val="TextBody"/>
        <w:bidi w:val="0"/>
        <w:spacing w:before="240" w:after="0"/>
        <w:jc w:val="center"/>
        <w:rPr>
          <w:rFonts w:ascii="Times New Roman" w:hAnsi="Times New Roman"/>
          <w:b/>
          <w:sz w:val="20"/>
        </w:rPr>
      </w:pPr>
      <w:r>
        <w:rPr>
          <w:rFonts w:ascii="Times New Roman" w:hAnsi="Times New Roman"/>
          <w:b/>
          <w:sz w:val="20"/>
        </w:rPr>
        <w:t xml:space="preserve">6.750% Junior Subordinated Notes due 2064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48"/>
        <w:gridCol w:w="112"/>
        <w:gridCol w:w="4065"/>
        <w:gridCol w:w="126"/>
        <w:gridCol w:w="1754"/>
      </w:tblGrid>
      <w:tr>
        <w:trPr/>
        <w:tc>
          <w:tcPr>
            <w:tcW w:w="414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r>
      <w:tr>
        <w:trPr/>
        <w:tc>
          <w:tcPr>
            <w:tcW w:w="4148" w:type="dxa"/>
            <w:tcBorders/>
          </w:tcPr>
          <w:p>
            <w:pPr>
              <w:pStyle w:val="TableContents"/>
              <w:bidi w:val="0"/>
              <w:spacing w:before="0" w:after="283"/>
              <w:jc w:val="left"/>
              <w:rPr/>
            </w:pPr>
            <w:r>
              <w:rPr/>
              <w:t>No. []</w:t>
            </w:r>
          </w:p>
        </w:tc>
        <w:tc>
          <w:tcPr>
            <w:tcW w:w="112" w:type="dxa"/>
            <w:tcBorders/>
            <w:vAlign w:val="bottom"/>
          </w:tcPr>
          <w:p>
            <w:pPr>
              <w:pStyle w:val="TableContents"/>
              <w:bidi w:val="0"/>
              <w:spacing w:before="0" w:after="283"/>
              <w:jc w:val="left"/>
              <w:rPr/>
            </w:pPr>
            <w:r>
              <w:rPr/>
              <w:t> </w:t>
            </w:r>
          </w:p>
        </w:tc>
        <w:tc>
          <w:tcPr>
            <w:tcW w:w="406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54" w:type="dxa"/>
            <w:tcBorders/>
          </w:tcPr>
          <w:p>
            <w:pPr>
              <w:pStyle w:val="TableContents"/>
              <w:bidi w:val="0"/>
              <w:spacing w:before="0" w:after="283"/>
              <w:jc w:val="left"/>
              <w:rPr/>
            </w:pPr>
            <w:r>
              <w:rPr/>
              <w:t>CUSIP NO. []</w:t>
            </w:r>
          </w:p>
        </w:tc>
      </w:tr>
      <w:tr>
        <w:trPr/>
        <w:tc>
          <w:tcPr>
            <w:tcW w:w="4148" w:type="dxa"/>
            <w:tcBorders/>
          </w:tcPr>
          <w:p>
            <w:pPr>
              <w:pStyle w:val="TableContents"/>
              <w:bidi w:val="0"/>
              <w:spacing w:before="0" w:after="283"/>
              <w:jc w:val="left"/>
              <w:rPr/>
            </w:pPr>
            <w:r>
              <w:rPr/>
              <w:t>$[]</w:t>
            </w:r>
          </w:p>
        </w:tc>
        <w:tc>
          <w:tcPr>
            <w:tcW w:w="112" w:type="dxa"/>
            <w:tcBorders/>
            <w:vAlign w:val="bottom"/>
          </w:tcPr>
          <w:p>
            <w:pPr>
              <w:pStyle w:val="TableContents"/>
              <w:bidi w:val="0"/>
              <w:spacing w:before="0" w:after="283"/>
              <w:jc w:val="left"/>
              <w:rPr/>
            </w:pPr>
            <w:r>
              <w:rPr/>
              <w:t> </w:t>
            </w:r>
          </w:p>
        </w:tc>
        <w:tc>
          <w:tcPr>
            <w:tcW w:w="406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754" w:type="dxa"/>
            <w:tcBorders/>
          </w:tcPr>
          <w:p>
            <w:pPr>
              <w:pStyle w:val="TableContents"/>
              <w:bidi w:val="0"/>
              <w:spacing w:before="0" w:after="283"/>
              <w:jc w:val="left"/>
              <w:rPr/>
            </w:pPr>
            <w:r>
              <w:rPr/>
              <w:t>ISIN: []</w:t>
            </w:r>
          </w:p>
        </w:tc>
      </w:tr>
    </w:tbl>
    <w:p>
      <w:pPr>
        <w:pStyle w:val="TextBody"/>
        <w:bidi w:val="0"/>
        <w:spacing w:before="240" w:after="0"/>
        <w:jc w:val="left"/>
        <w:rPr>
          <w:rFonts w:ascii="Times New Roman" w:hAnsi="Times New Roman"/>
          <w:sz w:val="20"/>
        </w:rPr>
      </w:pPr>
      <w:r>
        <w:rPr>
          <w:rFonts w:ascii="Times New Roman" w:hAnsi="Times New Roman"/>
          <w:sz w:val="20"/>
        </w:rPr>
        <w:t>Affiliated Managers Group, Inc., a corporation duly incorporated and subsisting under the laws of the State of Delaware (herein called the </w:t>
      </w:r>
      <w:r>
        <w:rPr>
          <w:rFonts w:ascii="Times New Roman" w:hAnsi="Times New Roman"/>
          <w:b/>
          <w:sz w:val="20"/>
        </w:rPr>
        <w:t>Company</w:t>
      </w:r>
      <w:r>
        <w:rPr>
          <w:rFonts w:ascii="Times New Roman" w:hAnsi="Times New Roman"/>
          <w:sz w:val="20"/>
        </w:rPr>
        <w:t xml:space="preserve">, which term includes any successor corporation under the Indenture hereinafter referred to), for value received, hereby promises to pay to Cede &amp; Co., or registered assigns, the principal sum of [] million U.S. Dollars (U.S. $[]) on March 30, 2064 and to pay interest thereon from March 20, 2024 or from the most recent Interest Payment Date to which interest has been paid or duly provided for, on March 30, June 30, September 30 and December 30 in each year, commencing June 30, 2024, at the rate of 6.750% per annum, until the principal hereof is paid or made available for payment.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its option, on one or more occasions, defer payment of all or part of the current and accrued interest otherwise due on the Notes in accordance with Section 2.03 of the Fourth Supplemental Indenture (as defined on the reverse of this Note).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so payable, and punctually paid or duly provided for, on any Interest Payment Date will, as provided in such Indenture, be paid to the Person in whose name this Note (or one or more predecessor securities) is registered at the close of business on the Regular Record Date for such Interest Payment Date. Except as otherwise provided in the Indenture (as defined on the reverse of this Note), any such interest not so punctually paid or duly provided for will forthwith cease to be payable to the Holder on such Regular Record Date and may either be paid to the Person in whose name this Note (or one or more predecessor securities) is registered at the close of business on a Special Record Date for the payment of such defaulted interest to be fixed by the Trustee, notice whereof shall be given to Holders of Notes of this series not less than ten days prior to such Special Record Date, or be paid at any time in any other lawful manner not inconsistent with the requirements of any securities exchange on which the Notes of this series shall be listed, and upon such notice as may be required by any such exchange, as more fully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principal of and interest on this Note shall be made at the Corporate Trust Office of the Trustee maintained for that purpose, in such currency of the United States of America as at the time of payment is legal tender for payment of public and private debts;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so long as the Notes are represented in global form by one or more Global Securities, all payments of principal and interest shall be made by wire transfer of immediately available funds to the Depository or its nominee, as the case may be, as the registered owner of the Global Security representing such Notes. In the event that definitive Notes shall have been issued, all payments of principal and interest shall be made by wire transfer of immediately available funds to the accounts of the registered Holders thereof; </w:t>
      </w:r>
      <w:r>
        <w:rPr>
          <w:rFonts w:ascii="Times New Roman" w:hAnsi="Times New Roman"/>
          <w:sz w:val="20"/>
          <w:u w:val="single"/>
        </w:rPr>
        <w:t>provided</w:t>
      </w:r>
      <w:r>
        <w:rPr>
          <w:rFonts w:ascii="Times New Roman" w:hAnsi="Times New Roman"/>
          <w:sz w:val="20"/>
        </w:rPr>
        <w:t xml:space="preserve"> that the Company may at its option pay interest by check to the registered address of each Holder of a definitive Note. </w:t>
      </w:r>
    </w:p>
    <w:p>
      <w:pPr>
        <w:pStyle w:val="TextBody"/>
        <w:bidi w:val="0"/>
        <w:spacing w:before="240" w:after="0"/>
        <w:jc w:val="left"/>
        <w:rPr>
          <w:rFonts w:ascii="Times New Roman" w:hAnsi="Times New Roman"/>
          <w:sz w:val="20"/>
        </w:rPr>
      </w:pPr>
      <w:r>
        <w:rPr>
          <w:rFonts w:ascii="Times New Roman" w:hAnsi="Times New Roman"/>
          <w:sz w:val="20"/>
        </w:rPr>
        <w:t xml:space="preserve">The indebtedness evidenced by this Note, including the principal hereof and interest (including Additional Interest) hereon, is, to the extent provided in the Indenture, subordinate and junior in right of payment and upon liquidation to the prior payment in full of all Senior Indebtedness, and this Note is issued subject to the provisions of the Indenture with respect thereto. Each Holder of the Notes,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 Each Holder of the Notes, by accepting the same, waives all notice of the acceptance of the subordination provisions contained herein and in the Indenture by each holder of Senior Indebtedness, whether now outstanding or hereafter incurred, and waives reliance by each such holder upon said provisions.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Note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Note shall not be entitled to any benefit under the Indenture or be valid or obligatory for any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4"/>
        <w:gridCol w:w="89"/>
        <w:gridCol w:w="3479"/>
      </w:tblGrid>
      <w:tr>
        <w:trPr/>
        <w:tc>
          <w:tcPr>
            <w:tcW w:w="514"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AFFILIATED MANAGERS GROUP, INC.</w:t>
            </w:r>
          </w:p>
        </w:tc>
      </w:tr>
      <w:tr>
        <w:trPr>
          <w:trHeight w:val="240" w:hRule="atLeast"/>
        </w:trPr>
        <w:tc>
          <w:tcPr>
            <w:tcW w:w="514" w:type="dxa"/>
            <w:tcBorders/>
            <w:vAlign w:val="center"/>
          </w:tcPr>
          <w:p>
            <w:pPr>
              <w:pStyle w:val="TableContents"/>
              <w:bidi w:val="0"/>
              <w:spacing w:before="0" w:after="283"/>
              <w:jc w:val="left"/>
              <w:rPr>
                <w:sz w:val="4"/>
                <w:szCs w:val="4"/>
              </w:rPr>
            </w:pPr>
            <w:r>
              <w:rPr>
                <w:sz w:val="4"/>
                <w:szCs w:val="4"/>
              </w:rPr>
            </w:r>
          </w:p>
        </w:tc>
        <w:tc>
          <w:tcPr>
            <w:tcW w:w="3568" w:type="dxa"/>
            <w:gridSpan w:val="2"/>
            <w:tcBorders/>
            <w:vAlign w:val="center"/>
          </w:tcPr>
          <w:p>
            <w:pPr>
              <w:pStyle w:val="TableContents"/>
              <w:bidi w:val="0"/>
              <w:spacing w:before="0" w:after="283"/>
              <w:jc w:val="left"/>
              <w:rPr>
                <w:sz w:val="4"/>
                <w:szCs w:val="4"/>
              </w:rPr>
            </w:pPr>
            <w:r>
              <w:rPr>
                <w:sz w:val="4"/>
                <w:szCs w:val="4"/>
              </w:rPr>
            </w:r>
          </w:p>
        </w:tc>
      </w:tr>
      <w:tr>
        <w:trPr/>
        <w:tc>
          <w:tcPr>
            <w:tcW w:w="514" w:type="dxa"/>
            <w:tcBorders/>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3479" w:type="dxa"/>
            <w:tcBorders/>
          </w:tcPr>
          <w:p>
            <w:pPr>
              <w:pStyle w:val="TableContents"/>
              <w:pBdr>
                <w:bottom w:val="single" w:sz="2" w:space="1" w:color="000000"/>
              </w:pBdr>
              <w:bidi w:val="0"/>
              <w:spacing w:before="0" w:after="20"/>
              <w:jc w:val="left"/>
              <w:rPr/>
            </w:pPr>
            <w:r>
              <w:rPr/>
              <w:t> </w:t>
            </w:r>
          </w:p>
        </w:tc>
      </w:tr>
      <w:tr>
        <w:trPr/>
        <w:tc>
          <w:tcPr>
            <w:tcW w:w="514"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79" w:type="dxa"/>
            <w:tcBorders/>
          </w:tcPr>
          <w:p>
            <w:pPr>
              <w:pStyle w:val="TableContents"/>
              <w:bidi w:val="0"/>
              <w:spacing w:before="0" w:after="283"/>
              <w:jc w:val="left"/>
              <w:rPr/>
            </w:pPr>
            <w:r>
              <w:rPr/>
              <w:t>Name:</w:t>
            </w:r>
          </w:p>
        </w:tc>
      </w:tr>
      <w:tr>
        <w:trPr/>
        <w:tc>
          <w:tcPr>
            <w:tcW w:w="514"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79"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Global Note]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issued under the within 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U.S. BANK TRUST COMPANY, NATIONAL ASSOCIATION</w:t>
            </w:r>
            <w:r>
              <w:rPr/>
              <w:t>,</w:t>
            </w:r>
          </w:p>
        </w:tc>
      </w:tr>
      <w:tr>
        <w:trPr/>
        <w:tc>
          <w:tcPr>
            <w:tcW w:w="4082" w:type="dxa"/>
            <w:gridSpan w:val="3"/>
            <w:tcBorders/>
          </w:tcPr>
          <w:p>
            <w:pPr>
              <w:pStyle w:val="TableContents"/>
              <w:bidi w:val="0"/>
              <w:spacing w:before="0" w:after="283"/>
              <w:jc w:val="left"/>
              <w:rPr/>
            </w:pPr>
            <w:r>
              <w:rPr/>
              <w:t>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to Global Note]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Reverse of Note]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securities of the Company (herein called the </w:t>
      </w:r>
      <w:r>
        <w:rPr>
          <w:rFonts w:ascii="Times New Roman" w:hAnsi="Times New Roman"/>
          <w:b/>
          <w:sz w:val="20"/>
        </w:rPr>
        <w:t>Notes</w:t>
      </w:r>
      <w:r>
        <w:rPr>
          <w:rFonts w:ascii="Times New Roman" w:hAnsi="Times New Roman"/>
          <w:sz w:val="20"/>
        </w:rPr>
        <w:t>), issued and to be issued in one or more series under a Junior Subordinated Notes Indenture, dated as of March 27, 2019 (herein called the </w:t>
      </w:r>
      <w:r>
        <w:rPr>
          <w:rFonts w:ascii="Times New Roman" w:hAnsi="Times New Roman"/>
          <w:b/>
          <w:sz w:val="20"/>
        </w:rPr>
        <w:t>Base Indenture</w:t>
      </w:r>
      <w:r>
        <w:rPr>
          <w:rFonts w:ascii="Times New Roman" w:hAnsi="Times New Roman"/>
          <w:sz w:val="20"/>
        </w:rPr>
        <w:t>), as supplemented through a Fourth Supplemental Indenture, dated as of March 20, 2024 (herein called the </w:t>
      </w:r>
      <w:r>
        <w:rPr>
          <w:rFonts w:ascii="Times New Roman" w:hAnsi="Times New Roman"/>
          <w:b/>
          <w:sz w:val="20"/>
        </w:rPr>
        <w:t>Fourth 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between the Company and U.S. Bank Trust Company, National Association, as Trustee (herein called the </w:t>
      </w:r>
      <w:r>
        <w:rPr>
          <w:rFonts w:ascii="Times New Roman" w:hAnsi="Times New Roman"/>
          <w:b/>
          <w:sz w:val="20"/>
        </w:rPr>
        <w:t>Trustee</w:t>
      </w:r>
      <w:r>
        <w:rPr>
          <w:rFonts w:ascii="Times New Roman" w:hAnsi="Times New Roman"/>
          <w:sz w:val="20"/>
        </w:rPr>
        <w:t xml:space="preserve">, which term includes any successor trustee under the Indenture), and reference is hereby made to the Indenture for a statement of the respective rights, limitations of rights, obligations, duties and immunities thereunder of the Company, the Trustee and the Holders of the Notes and of the terms upon which the Notes are, and are to be, authenticated and delivered. This Note is one of the series designated on the face hereof, initially limited in aggregate principal amount to $450,000,000. The Company may at any time issue other debt securities under the Indenture. The Company may at any time issue additional securities under the Indenture in unlimited amounts having the same terms (except for the issue date, issue price and, in some cases, the first interest accrual date and first interest payment date) as the Notes (except as otherwise provided in the Indenture) so that such additional securities shall be consolidated with the Notes, including for purposes of voting and redemption;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will use a separate CUSIP for any such additional securities that are not fungible with the original Notes for U.S. federal income tax purposes. Any such additional securities shall, together with the outstanding Notes, constitute a single series of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on or after March 30, 2029, the Notes will be subject to redemption at the option of the Company in whole or in part upon not less than 10 nor more than 60 days notice, at a Redemption Price equal to 100% of the principal amount of the Notes being redeemed plus accrued and unpaid interest (including any Additional Interest) on the Notes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March 30, 2029, the Company may redeem the Notes, in whole but not in part, upon not less than 10 nor more than 60 days notice following the occurrence of a Tax Event, at a Redemption Price equal to 100% of the principal amount to be redeemed plus any accrued but unpaid interest (including any Additional Interest)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March 30, 2029, the Company may redeem the Notes, in whole but not in part, upon not less than 10 nor more than 60 days notice, given within the 90 days after the occurrence of a Rating Agency Event, at a Redemption Price equal to 102% of the principal amount to be redeemed plus any accrued but unpaid interest (including any Additional Interest)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all payment and other obligations under the Indenture and certain restrictive covenants in the Indenture,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the Notes occurs, the principal of the Notes and accrued and unpaid interest (including Additional Interest) shall automatically, and without any declaration or other action on the part of the Trustee or any Holder of the Notes, become immediately due and payable as provided in the Indenture. Holders of Notes shall have no right to declare the principal of the Notes to be due and payable immediately, and there shall be no right of acceleration of principal and accrued but unpaid interest (including Additional Interest) on the Notes in the case of any Default.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or the Notes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Note or of the Indenture shall alter or impair the obligation of the Company, which is absolute and unconditional, to pay the principal of and any interest on this Note at the times, place and rate, and in the currency, herein prescribed, subject to the Companys option to defer interest payments in accordance with Section 2.03 of the Fourth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Note is registrable in the Security Registrars books, upon surrender of this Note for registration of transfer at the Corporate Trust Office of the Trustee or at any other office or agency maintained by the Company for such purpose, duly endorsed by, or accompanied by a written instrument of transfer in form satisfactory to the Company and the Security Registrar duly executed by, the Holder hereof or the Holders attorney duly authorized in writing, and thereupon one or more new securities of this series,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Notes of this series are issuable only in registered form in minimum denominations of $25 and integral multiples of $25 in excess thereof. As provided in the Indenture and subject to certain limitations therein set forth, Notes are exchangeable for a like aggregate principal amount of Notes of this series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to a Holder for any such registration of transfer or exchange, but the Company, the Trustee or the Security Registrar may require payment of a sum sufficient to cover any tax or other governmental charge payable in connection therewith other than in the case of certain exchanges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Note which are defined in the Indenture shall have the meanings assigned to them in the Indenture. </w:t>
      </w:r>
    </w:p>
    <w:p>
      <w:pPr>
        <w:pStyle w:val="TextBody"/>
        <w:bidi w:val="0"/>
        <w:spacing w:before="0" w:after="0"/>
        <w:jc w:val="right"/>
        <w:rPr>
          <w:rFonts w:ascii="Times New Roman" w:hAnsi="Times New Roman"/>
          <w:sz w:val="20"/>
        </w:rPr>
      </w:pPr>
      <w:bookmarkStart w:id="6" w:name="d797758dex51.htm"/>
      <w:bookmarkStart w:id="7" w:name="ksd797758dex51"/>
      <w:bookmarkEnd w:id="6"/>
      <w:bookmarkEnd w:id="7"/>
      <w:r>
        <w:rPr>
          <w:rFonts w:ascii="Times New Roman" w:hAnsi="Times New Roman"/>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SKADDEN, ARPS, SLATE, MEAGHER &amp; FLOM LLP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restart"/>
            <w:tcBorders/>
            <w:vAlign w:val="bottom"/>
          </w:tcPr>
          <w:p>
            <w:pPr>
              <w:pStyle w:val="TableContents"/>
              <w:bidi w:val="0"/>
              <w:spacing w:before="0" w:after="283"/>
              <w:jc w:val="left"/>
              <w:rPr/>
            </w:pPr>
            <w:r>
              <w:rPr/>
              <w:t> </w:t>
            </w:r>
          </w:p>
        </w:tc>
        <w:tc>
          <w:tcPr>
            <w:tcW w:w="3368" w:type="dxa"/>
            <w:vMerge w:val="restart"/>
            <w:tcBorders/>
          </w:tcPr>
          <w:p>
            <w:pPr>
              <w:pStyle w:val="TableContents"/>
              <w:bidi w:val="0"/>
              <w:spacing w:before="0" w:after="0"/>
              <w:jc w:val="center"/>
              <w:rPr>
                <w:rFonts w:ascii="Times New Roman" w:hAnsi="Times New Roman"/>
                <w:sz w:val="20"/>
              </w:rPr>
            </w:pPr>
            <w:r>
              <w:rPr>
                <w:rFonts w:ascii="Times New Roman" w:hAnsi="Times New Roman"/>
                <w:sz w:val="20"/>
              </w:rPr>
              <w:t>ONE MANHATTAN WEST</w:t>
            </w:r>
          </w:p>
          <w:p>
            <w:pPr>
              <w:pStyle w:val="TableContents"/>
              <w:bidi w:val="0"/>
              <w:spacing w:before="0" w:after="0"/>
              <w:jc w:val="center"/>
              <w:rPr>
                <w:rFonts w:ascii="Times New Roman" w:hAnsi="Times New Roman"/>
                <w:sz w:val="22"/>
              </w:rPr>
            </w:pPr>
            <w:r>
              <w:rPr>
                <w:rFonts w:ascii="Times New Roman" w:hAnsi="Times New Roman"/>
                <w:sz w:val="22"/>
              </w:rPr>
              <w:t>NEW YORK, NY 10001</w:t>
            </w:r>
          </w:p>
          <w:p>
            <w:pPr>
              <w:pStyle w:val="TableContents"/>
              <w:pBdr>
                <w:bottom w:val="single" w:sz="8" w:space="1" w:color="000000"/>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TEL: (212) 735-3000</w:t>
            </w:r>
          </w:p>
          <w:p>
            <w:pPr>
              <w:pStyle w:val="TableContents"/>
              <w:bidi w:val="0"/>
              <w:spacing w:before="0" w:after="0"/>
              <w:jc w:val="center"/>
              <w:rPr>
                <w:rFonts w:ascii="Times New Roman" w:hAnsi="Times New Roman"/>
                <w:sz w:val="20"/>
              </w:rPr>
            </w:pPr>
            <w:r>
              <w:rPr>
                <w:rFonts w:ascii="Times New Roman" w:hAnsi="Times New Roman"/>
                <w:sz w:val="20"/>
              </w:rPr>
              <w:t>FAX: (212) 735-2000</w:t>
            </w:r>
          </w:p>
          <w:p>
            <w:pPr>
              <w:pStyle w:val="TableContents"/>
              <w:bidi w:val="0"/>
              <w:spacing w:before="0" w:after="20"/>
              <w:jc w:val="center"/>
              <w:rPr>
                <w:rFonts w:ascii="Times New Roman" w:hAnsi="Times New Roman"/>
                <w:sz w:val="20"/>
              </w:rPr>
            </w:pPr>
            <w:r>
              <w:rPr>
                <w:rFonts w:ascii="Times New Roman" w:hAnsi="Times New Roman"/>
                <w:sz w:val="20"/>
              </w:rPr>
              <w:t>www.skadden.com</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20"/>
              </w:rPr>
            </w:pPr>
            <w:r>
              <w:rPr>
                <w:rFonts w:ascii="Times New Roman" w:hAnsi="Times New Roman"/>
                <w:sz w:val="20"/>
              </w:rPr>
              <w:t>FIRM/AFFILIATE</w:t>
            </w:r>
          </w:p>
          <w:p>
            <w:pPr>
              <w:pStyle w:val="TableContents"/>
              <w:bidi w:val="0"/>
              <w:spacing w:before="0" w:after="20"/>
              <w:jc w:val="center"/>
              <w:rPr>
                <w:rFonts w:ascii="Times New Roman" w:hAnsi="Times New Roman"/>
                <w:sz w:val="20"/>
              </w:rPr>
            </w:pPr>
            <w:r>
              <w:rPr>
                <w:rFonts w:ascii="Times New Roman" w:hAnsi="Times New Roman"/>
                <w:sz w:val="20"/>
              </w:rPr>
              <w:t>OFFICES</w:t>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continue"/>
            <w:tcBorders/>
            <w:vAlign w:val="bottom"/>
          </w:tcPr>
          <w:p>
            <w:pPr>
              <w:pStyle w:val="Normal"/>
              <w:bidi w:val="0"/>
              <w:jc w:val="left"/>
              <w:rPr/>
            </w:pPr>
            <w:r>
              <w:rPr/>
            </w:r>
          </w:p>
        </w:tc>
        <w:tc>
          <w:tcPr>
            <w:tcW w:w="336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w:t>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continue"/>
            <w:tcBorders/>
            <w:vAlign w:val="bottom"/>
          </w:tcPr>
          <w:p>
            <w:pPr>
              <w:pStyle w:val="Normal"/>
              <w:bidi w:val="0"/>
              <w:jc w:val="left"/>
              <w:rPr/>
            </w:pPr>
            <w:r>
              <w:rPr/>
            </w:r>
          </w:p>
        </w:tc>
        <w:tc>
          <w:tcPr>
            <w:tcW w:w="336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BOSTON</w:t>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continue"/>
            <w:tcBorders/>
            <w:vAlign w:val="bottom"/>
          </w:tcPr>
          <w:p>
            <w:pPr>
              <w:pStyle w:val="Normal"/>
              <w:bidi w:val="0"/>
              <w:jc w:val="left"/>
              <w:rPr/>
            </w:pPr>
            <w:r>
              <w:rPr/>
            </w:r>
          </w:p>
        </w:tc>
        <w:tc>
          <w:tcPr>
            <w:tcW w:w="336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CHICAGO</w:t>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continue"/>
            <w:tcBorders/>
            <w:vAlign w:val="bottom"/>
          </w:tcPr>
          <w:p>
            <w:pPr>
              <w:pStyle w:val="Normal"/>
              <w:bidi w:val="0"/>
              <w:jc w:val="left"/>
              <w:rPr/>
            </w:pPr>
            <w:r>
              <w:rPr/>
            </w:r>
          </w:p>
        </w:tc>
        <w:tc>
          <w:tcPr>
            <w:tcW w:w="336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HOUSTON</w:t>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continue"/>
            <w:tcBorders/>
            <w:vAlign w:val="bottom"/>
          </w:tcPr>
          <w:p>
            <w:pPr>
              <w:pStyle w:val="Normal"/>
              <w:bidi w:val="0"/>
              <w:jc w:val="left"/>
              <w:rPr/>
            </w:pPr>
            <w:r>
              <w:rPr/>
            </w:r>
          </w:p>
        </w:tc>
        <w:tc>
          <w:tcPr>
            <w:tcW w:w="336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LOS ANGELES</w:t>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continue"/>
            <w:tcBorders/>
            <w:vAlign w:val="bottom"/>
          </w:tcPr>
          <w:p>
            <w:pPr>
              <w:pStyle w:val="Normal"/>
              <w:bidi w:val="0"/>
              <w:jc w:val="left"/>
              <w:rPr/>
            </w:pPr>
            <w:r>
              <w:rPr/>
            </w:r>
          </w:p>
        </w:tc>
        <w:tc>
          <w:tcPr>
            <w:tcW w:w="336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PALO ALTO</w:t>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continue"/>
            <w:tcBorders/>
            <w:vAlign w:val="bottom"/>
          </w:tcPr>
          <w:p>
            <w:pPr>
              <w:pStyle w:val="Normal"/>
              <w:bidi w:val="0"/>
              <w:jc w:val="left"/>
              <w:rPr/>
            </w:pPr>
            <w:r>
              <w:rPr/>
            </w:r>
          </w:p>
        </w:tc>
        <w:tc>
          <w:tcPr>
            <w:tcW w:w="336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WASHINGTON, D.C.</w:t>
            </w:r>
          </w:p>
        </w:tc>
      </w:tr>
      <w:tr>
        <w:trPr/>
        <w:tc>
          <w:tcPr>
            <w:tcW w:w="3367" w:type="dxa"/>
            <w:tcBorders/>
          </w:tcPr>
          <w:p>
            <w:pPr>
              <w:pStyle w:val="TableContents"/>
              <w:bidi w:val="0"/>
              <w:spacing w:before="0" w:after="283"/>
              <w:jc w:val="left"/>
              <w:rPr>
                <w:sz w:val="4"/>
                <w:szCs w:val="4"/>
              </w:rPr>
            </w:pPr>
            <w:r>
              <w:rPr>
                <w:sz w:val="4"/>
                <w:szCs w:val="4"/>
              </w:rPr>
            </w:r>
          </w:p>
        </w:tc>
        <w:tc>
          <w:tcPr>
            <w:tcW w:w="102" w:type="dxa"/>
            <w:vMerge w:val="continue"/>
            <w:tcBorders/>
            <w:vAlign w:val="bottom"/>
          </w:tcPr>
          <w:p>
            <w:pPr>
              <w:pStyle w:val="Normal"/>
              <w:bidi w:val="0"/>
              <w:jc w:val="left"/>
              <w:rPr/>
            </w:pPr>
            <w:r>
              <w:rPr/>
            </w:r>
          </w:p>
        </w:tc>
        <w:tc>
          <w:tcPr>
            <w:tcW w:w="3368"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WILMINGTON</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BEIJING</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BRUSSELS</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FRANKFURT</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HONG KONG</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LONDON</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MUNICH</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PARIS</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SÃO PAULO</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SEOUL</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SHANGHAI</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SINGAPORE</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TOKYO</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TORONTO</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March 20, 2024 </w:t>
      </w:r>
    </w:p>
    <w:p>
      <w:pPr>
        <w:pStyle w:val="TextBody"/>
        <w:bidi w:val="0"/>
        <w:spacing w:before="0" w:after="0"/>
        <w:jc w:val="left"/>
        <w:rPr>
          <w:rFonts w:ascii="Times New Roman" w:hAnsi="Times New Roman"/>
          <w:sz w:val="20"/>
        </w:rPr>
      </w:pPr>
      <w:r>
        <w:rPr>
          <w:rFonts w:ascii="Times New Roman" w:hAnsi="Times New Roman"/>
          <w:sz w:val="20"/>
        </w:rPr>
        <w:t xml:space="preserve">Affiliated Managers Group, Inc. </w:t>
      </w:r>
    </w:p>
    <w:p>
      <w:pPr>
        <w:pStyle w:val="TextBody"/>
        <w:bidi w:val="0"/>
        <w:spacing w:before="0" w:after="0"/>
        <w:jc w:val="left"/>
        <w:rPr>
          <w:rFonts w:ascii="Times New Roman" w:hAnsi="Times New Roman"/>
          <w:sz w:val="20"/>
        </w:rPr>
      </w:pPr>
      <w:r>
        <w:rPr>
          <w:rFonts w:ascii="Times New Roman" w:hAnsi="Times New Roman"/>
          <w:sz w:val="20"/>
        </w:rPr>
        <w:t xml:space="preserve">777 South Flagler Drive </w:t>
      </w:r>
    </w:p>
    <w:p>
      <w:pPr>
        <w:pStyle w:val="TextBody"/>
        <w:bidi w:val="0"/>
        <w:spacing w:before="0" w:after="0"/>
        <w:jc w:val="left"/>
        <w:rPr>
          <w:rFonts w:ascii="Times New Roman" w:hAnsi="Times New Roman"/>
          <w:sz w:val="20"/>
        </w:rPr>
      </w:pPr>
      <w:r>
        <w:rPr>
          <w:rFonts w:ascii="Times New Roman" w:hAnsi="Times New Roman"/>
          <w:sz w:val="20"/>
        </w:rPr>
        <w:t xml:space="preserve">West Palm Beach, Florida 33401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Affiliated Managers Group, Inc.  Junior Subordinated Notes Offering</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United States counsel to Affiliated Managers Group, Inc., a Delaware corporation (the </w:t>
      </w:r>
      <w:r>
        <w:rPr>
          <w:rFonts w:ascii="Times New Roman" w:hAnsi="Times New Roman"/>
          <w:sz w:val="20"/>
          <w:u w:val="single"/>
        </w:rPr>
        <w:t>Company</w:t>
      </w:r>
      <w:r>
        <w:rPr>
          <w:rFonts w:ascii="Times New Roman" w:hAnsi="Times New Roman"/>
          <w:sz w:val="20"/>
        </w:rPr>
        <w:t>), in connection with the public offering of $450,000,000 aggregate principal amount of the Companys 6.750% Junior Subordinated Notes due 2064 (the </w:t>
      </w:r>
      <w:r>
        <w:rPr>
          <w:rFonts w:ascii="Times New Roman" w:hAnsi="Times New Roman"/>
          <w:sz w:val="20"/>
          <w:u w:val="single"/>
        </w:rPr>
        <w:t>Initial Securities</w:t>
      </w:r>
      <w:r>
        <w:rPr>
          <w:rFonts w:ascii="Times New Roman" w:hAnsi="Times New Roman"/>
          <w:sz w:val="20"/>
        </w:rPr>
        <w:t>), including an additional $50,000,000 aggregate principal amount of the Companys 6.750% Junior Subordinated Notes due 2064 to cover over-allotments (the </w:t>
      </w:r>
      <w:r>
        <w:rPr>
          <w:rFonts w:ascii="Times New Roman" w:hAnsi="Times New Roman"/>
          <w:sz w:val="20"/>
          <w:u w:val="single"/>
        </w:rPr>
        <w:t>Option Securities</w:t>
      </w:r>
      <w:r>
        <w:rPr>
          <w:rFonts w:ascii="Times New Roman" w:hAnsi="Times New Roman"/>
          <w:sz w:val="20"/>
        </w:rPr>
        <w:t> and, together with the Initial Securities, the </w:t>
      </w:r>
      <w:r>
        <w:rPr>
          <w:rFonts w:ascii="Times New Roman" w:hAnsi="Times New Roman"/>
          <w:sz w:val="20"/>
          <w:u w:val="single"/>
        </w:rPr>
        <w:t>Securities</w:t>
      </w:r>
      <w:r>
        <w:rPr>
          <w:rFonts w:ascii="Times New Roman" w:hAnsi="Times New Roman"/>
          <w:sz w:val="20"/>
        </w:rPr>
        <w:t>), to be issued under the Indenture, dated as of March 27, 2019 (the </w:t>
      </w:r>
      <w:r>
        <w:rPr>
          <w:rFonts w:ascii="Times New Roman" w:hAnsi="Times New Roman"/>
          <w:sz w:val="20"/>
          <w:u w:val="single"/>
        </w:rPr>
        <w:t>Base Indenture</w:t>
      </w:r>
      <w:r>
        <w:rPr>
          <w:rFonts w:ascii="Times New Roman" w:hAnsi="Times New Roman"/>
          <w:sz w:val="20"/>
        </w:rPr>
        <w:t>), as amended and supplemented by the Fourth Supplemental Indenture, dated as of March 20, 2024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between the Company and U.S. Bank National Association and U.S. Bank Trust Company, National Association, respectively, in each case as trustee (the </w:t>
      </w:r>
      <w:r>
        <w:rPr>
          <w:rFonts w:ascii="Times New Roman" w:hAnsi="Times New Roman"/>
          <w:sz w:val="20"/>
          <w:u w:val="single"/>
        </w:rPr>
        <w:t>Trustee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Affiliated Managers Group, Inc. </w:t>
      </w:r>
    </w:p>
    <w:p>
      <w:pPr>
        <w:pStyle w:val="TextBody"/>
        <w:bidi w:val="0"/>
        <w:spacing w:before="0" w:after="0"/>
        <w:jc w:val="left"/>
        <w:rPr>
          <w:rFonts w:ascii="Times New Roman" w:hAnsi="Times New Roman"/>
          <w:sz w:val="20"/>
        </w:rPr>
      </w:pPr>
      <w:r>
        <w:rPr>
          <w:rFonts w:ascii="Times New Roman" w:hAnsi="Times New Roman"/>
          <w:sz w:val="20"/>
        </w:rPr>
        <w:t xml:space="preserve">March 20, 2024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This opinion is being furnished in accordance with the requirements of Item 601(b)(5) of Regulation S-K under the Securities Act of 1933 (the </w:t>
      </w:r>
      <w:r>
        <w:rPr>
          <w:rFonts w:ascii="Times New Roman" w:hAnsi="Times New Roman"/>
          <w:sz w:val="20"/>
          <w:u w:val="single"/>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stated herein, we have examined and relied upon the following: </w:t>
      </w:r>
    </w:p>
    <w:p>
      <w:pPr>
        <w:pStyle w:val="TextBody"/>
        <w:bidi w:val="0"/>
        <w:spacing w:before="120" w:after="0"/>
        <w:jc w:val="left"/>
        <w:rPr>
          <w:rFonts w:ascii="Times New Roman" w:hAnsi="Times New Roman"/>
          <w:sz w:val="20"/>
        </w:rPr>
      </w:pPr>
      <w:r>
        <w:rPr>
          <w:rFonts w:ascii="Times New Roman" w:hAnsi="Times New Roman"/>
          <w:sz w:val="20"/>
        </w:rPr>
        <w:t>(a) the registration statement on Form S-3 (File No.333-263148) of the Company relating to debt securities and other securities of the Company filed on March 1, 2022 with the Securities and Exchange Commission (the </w:t>
      </w:r>
      <w:r>
        <w:rPr>
          <w:rFonts w:ascii="Times New Roman" w:hAnsi="Times New Roman"/>
          <w:sz w:val="20"/>
          <w:u w:val="single"/>
        </w:rPr>
        <w:t>Commission</w:t>
      </w:r>
      <w:r>
        <w:rPr>
          <w:rFonts w:ascii="Times New Roman" w:hAnsi="Times New Roman"/>
          <w:sz w:val="20"/>
        </w:rPr>
        <w:t>) under the Securities Act allowing for delayed offerings pursuant to Rule 415 of the General Rules and Regulations under the Securities Act (the </w:t>
      </w:r>
      <w:r>
        <w:rPr>
          <w:rFonts w:ascii="Times New Roman" w:hAnsi="Times New Roman"/>
          <w:sz w:val="20"/>
          <w:u w:val="single"/>
        </w:rPr>
        <w:t>Rules and Regulations</w:t>
      </w:r>
      <w:r>
        <w:rPr>
          <w:rFonts w:ascii="Times New Roman" w:hAnsi="Times New Roman"/>
          <w:sz w:val="20"/>
        </w:rPr>
        <w:t>), including the information deemed to be a part of the registration statement pursuant to Rule 430B of the Rules and Regulations (such registration statement being hereinafter referred to as the </w:t>
      </w:r>
      <w:r>
        <w:rPr>
          <w:rFonts w:ascii="Times New Roman" w:hAnsi="Times New Roman"/>
          <w:sz w:val="20"/>
          <w:u w:val="single"/>
        </w:rPr>
        <w:t>Registration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prospectus, dated March 1, 2022 (the </w:t>
      </w:r>
      <w:r>
        <w:rPr>
          <w:rFonts w:ascii="Times New Roman" w:hAnsi="Times New Roman"/>
          <w:sz w:val="20"/>
          <w:u w:val="single"/>
        </w:rPr>
        <w:t>Base Prospectus</w:t>
      </w:r>
      <w:r>
        <w:rPr>
          <w:rFonts w:ascii="Times New Roman" w:hAnsi="Times New Roman"/>
          <w:sz w:val="20"/>
        </w:rPr>
        <w:t xml:space="preserve">), which forms a part of and is included in the Registration Statement; </w:t>
      </w:r>
    </w:p>
    <w:p>
      <w:pPr>
        <w:pStyle w:val="TextBody"/>
        <w:bidi w:val="0"/>
        <w:spacing w:before="120" w:after="0"/>
        <w:jc w:val="left"/>
        <w:rPr>
          <w:rFonts w:ascii="Times New Roman" w:hAnsi="Times New Roman"/>
          <w:sz w:val="20"/>
        </w:rPr>
      </w:pPr>
      <w:r>
        <w:rPr>
          <w:rFonts w:ascii="Times New Roman" w:hAnsi="Times New Roman"/>
          <w:sz w:val="20"/>
        </w:rPr>
        <w:t>(c) the preliminary prospectus supplement, dated March 14, 2024 (together with the Base Prospectus, the </w:t>
      </w:r>
      <w:r>
        <w:rPr>
          <w:rFonts w:ascii="Times New Roman" w:hAnsi="Times New Roman"/>
          <w:sz w:val="20"/>
          <w:u w:val="single"/>
        </w:rPr>
        <w:t>Preliminary Prospectus</w:t>
      </w:r>
      <w:r>
        <w:rPr>
          <w:rFonts w:ascii="Times New Roman" w:hAnsi="Times New Roman"/>
          <w:sz w:val="20"/>
        </w:rPr>
        <w:t xml:space="preserve">) relating to the offering of the Securities, in the form filed with the Commission pursuant to Rule 424(b) of the Rules and Regulations; </w:t>
      </w:r>
    </w:p>
    <w:p>
      <w:pPr>
        <w:pStyle w:val="TextBody"/>
        <w:bidi w:val="0"/>
        <w:spacing w:before="120" w:after="0"/>
        <w:jc w:val="left"/>
        <w:rPr>
          <w:rFonts w:ascii="Times New Roman" w:hAnsi="Times New Roman"/>
          <w:sz w:val="20"/>
        </w:rPr>
      </w:pPr>
      <w:r>
        <w:rPr>
          <w:rFonts w:ascii="Times New Roman" w:hAnsi="Times New Roman"/>
          <w:sz w:val="20"/>
        </w:rPr>
        <w:t>(d) the prospectus supplement, dated March 14, 2024 (together with the Base Prospectus, the </w:t>
      </w:r>
      <w:r>
        <w:rPr>
          <w:rFonts w:ascii="Times New Roman" w:hAnsi="Times New Roman"/>
          <w:sz w:val="20"/>
          <w:u w:val="single"/>
        </w:rPr>
        <w:t>Prospectus</w:t>
      </w:r>
      <w:r>
        <w:rPr>
          <w:rFonts w:ascii="Times New Roman" w:hAnsi="Times New Roman"/>
          <w:sz w:val="20"/>
        </w:rPr>
        <w:t xml:space="preserve">), relating to the offering of the Securities, in the form filed with the Commission pursuant to Rule 424(b) of the Rules and Regulations; </w:t>
      </w:r>
    </w:p>
    <w:p>
      <w:pPr>
        <w:pStyle w:val="TextBody"/>
        <w:bidi w:val="0"/>
        <w:spacing w:before="120" w:after="0"/>
        <w:jc w:val="left"/>
        <w:rPr>
          <w:rFonts w:ascii="Times New Roman" w:hAnsi="Times New Roman"/>
          <w:sz w:val="20"/>
        </w:rPr>
      </w:pPr>
      <w:r>
        <w:rPr>
          <w:rFonts w:ascii="Times New Roman" w:hAnsi="Times New Roman"/>
          <w:sz w:val="20"/>
        </w:rPr>
        <w:t>(e) an executed copy of the Underwriting Agreement, dated March 14, 2024 (the </w:t>
      </w:r>
      <w:r>
        <w:rPr>
          <w:rFonts w:ascii="Times New Roman" w:hAnsi="Times New Roman"/>
          <w:sz w:val="20"/>
          <w:u w:val="single"/>
        </w:rPr>
        <w:t>Underwriting Agreement</w:t>
      </w:r>
      <w:r>
        <w:rPr>
          <w:rFonts w:ascii="Times New Roman" w:hAnsi="Times New Roman"/>
          <w:sz w:val="20"/>
        </w:rPr>
        <w:t>), by and among the BofA Securities, Inc., Morgan Stanley &amp; Co. LLC, RBC Capital Markets, LLC and Wells Fargo Securities, LLC as representatives of the several Underwriters named therein (the </w:t>
      </w:r>
      <w:r>
        <w:rPr>
          <w:rFonts w:ascii="Times New Roman" w:hAnsi="Times New Roman"/>
          <w:sz w:val="20"/>
          <w:u w:val="single"/>
        </w:rPr>
        <w:t>Underwriters</w:t>
      </w:r>
      <w:r>
        <w:rPr>
          <w:rFonts w:ascii="Times New Roman" w:hAnsi="Times New Roman"/>
          <w:sz w:val="20"/>
        </w:rPr>
        <w:t xml:space="preserve">), relating to the sale by the Company to the Underwriters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(f) an executed copy of the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(g) an executed copy of the Supplemental Indenture; </w:t>
      </w:r>
    </w:p>
    <w:p>
      <w:pPr>
        <w:pStyle w:val="TextBody"/>
        <w:bidi w:val="0"/>
        <w:spacing w:before="120" w:after="0"/>
        <w:jc w:val="left"/>
        <w:rPr>
          <w:rFonts w:ascii="Times New Roman" w:hAnsi="Times New Roman"/>
          <w:sz w:val="20"/>
        </w:rPr>
      </w:pPr>
      <w:r>
        <w:rPr>
          <w:rFonts w:ascii="Times New Roman" w:hAnsi="Times New Roman"/>
          <w:sz w:val="20"/>
        </w:rPr>
        <w:t>(h) the global certificate evidencing the Securities executed by the Company and registered in the name of Cede &amp; Co. (the </w:t>
      </w:r>
      <w:r>
        <w:rPr>
          <w:rFonts w:ascii="Times New Roman" w:hAnsi="Times New Roman"/>
          <w:sz w:val="20"/>
          <w:u w:val="single"/>
        </w:rPr>
        <w:t>Note Certificate</w:t>
      </w:r>
      <w:r>
        <w:rPr>
          <w:rFonts w:ascii="Times New Roman" w:hAnsi="Times New Roman"/>
          <w:sz w:val="20"/>
        </w:rPr>
        <w:t xml:space="preserve">) delivered by the Company to the Trustee for authentication and delivery;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Affiliated Managers Group, Inc. </w:t>
      </w:r>
    </w:p>
    <w:p>
      <w:pPr>
        <w:pStyle w:val="TextBody"/>
        <w:bidi w:val="0"/>
        <w:spacing w:before="0" w:after="0"/>
        <w:jc w:val="left"/>
        <w:rPr>
          <w:rFonts w:ascii="Times New Roman" w:hAnsi="Times New Roman"/>
          <w:sz w:val="20"/>
        </w:rPr>
      </w:pPr>
      <w:r>
        <w:rPr>
          <w:rFonts w:ascii="Times New Roman" w:hAnsi="Times New Roman"/>
          <w:sz w:val="20"/>
        </w:rPr>
        <w:t xml:space="preserve">March 20, 2024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 an executed copy of a certificate of Kavita Padiyar, Managing Director, Chief Corporate Counsel, and Corporate Secretary of the Company, dated the date hereof (the </w:t>
      </w:r>
      <w:r>
        <w:rPr>
          <w:rFonts w:ascii="Times New Roman" w:hAnsi="Times New Roman"/>
          <w:sz w:val="20"/>
          <w:u w:val="single"/>
        </w:rPr>
        <w:t>Secretarys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a copy of the Companys Amended and Restated Certificate of Incorporation, certified by the Secretary of State of the State of Delaware as of March 13, 2024, and as of the date hereof, certified pursuant to the Secretarys Certificate; </w:t>
      </w:r>
    </w:p>
    <w:p>
      <w:pPr>
        <w:pStyle w:val="TextBody"/>
        <w:bidi w:val="0"/>
        <w:spacing w:before="240" w:after="0"/>
        <w:jc w:val="left"/>
        <w:rPr>
          <w:rFonts w:ascii="Times New Roman" w:hAnsi="Times New Roman"/>
          <w:sz w:val="20"/>
        </w:rPr>
      </w:pPr>
      <w:r>
        <w:rPr>
          <w:rFonts w:ascii="Times New Roman" w:hAnsi="Times New Roman"/>
          <w:sz w:val="20"/>
        </w:rPr>
        <w:t xml:space="preserve">(k) a copy of the Companys Fourth Amended and Restated Bylaws, as amended and in effect on November 7, 2022, and as of the date hereof, certified pursuant to the Secretarys Certificate; </w:t>
      </w:r>
    </w:p>
    <w:p>
      <w:pPr>
        <w:pStyle w:val="TextBody"/>
        <w:bidi w:val="0"/>
        <w:spacing w:before="240" w:after="0"/>
        <w:jc w:val="left"/>
        <w:rPr>
          <w:rFonts w:ascii="Times New Roman" w:hAnsi="Times New Roman"/>
          <w:sz w:val="20"/>
        </w:rPr>
      </w:pPr>
      <w:r>
        <w:rPr>
          <w:rFonts w:ascii="Times New Roman" w:hAnsi="Times New Roman"/>
          <w:sz w:val="20"/>
        </w:rPr>
        <w:t xml:space="preserve">(l) a copy of the Companys Amended and Restated By-laws, as in effect on December 27, 2018, certified pursuant to the Secretarys Certificate; </w:t>
      </w:r>
    </w:p>
    <w:p>
      <w:pPr>
        <w:pStyle w:val="TextBody"/>
        <w:bidi w:val="0"/>
        <w:spacing w:before="240" w:after="0"/>
        <w:jc w:val="left"/>
        <w:rPr>
          <w:rFonts w:ascii="Times New Roman" w:hAnsi="Times New Roman"/>
          <w:sz w:val="20"/>
        </w:rPr>
      </w:pPr>
      <w:r>
        <w:rPr>
          <w:rFonts w:ascii="Times New Roman" w:hAnsi="Times New Roman"/>
          <w:sz w:val="20"/>
        </w:rPr>
        <w:t xml:space="preserve">(m) copies of certain resolutions of the Board of Directors of the Company, adopted on December 27, 2018, January 27, 2019, and January 25, 2024, certified by the Secretary of the Company pursuant to the Secretarys Certificate; </w:t>
      </w:r>
    </w:p>
    <w:p>
      <w:pPr>
        <w:pStyle w:val="TextBody"/>
        <w:bidi w:val="0"/>
        <w:spacing w:before="240" w:after="0"/>
        <w:jc w:val="left"/>
        <w:rPr>
          <w:rFonts w:ascii="Times New Roman" w:hAnsi="Times New Roman"/>
          <w:sz w:val="20"/>
        </w:rPr>
      </w:pPr>
      <w:r>
        <w:rPr>
          <w:rFonts w:ascii="Times New Roman" w:hAnsi="Times New Roman"/>
          <w:sz w:val="20"/>
        </w:rPr>
        <w:t xml:space="preserve">(n) copies of certain resolutions of the Pricing Committee of the Board of Directors of the Company, adopted on March 21, 2019 and March 14, 2024, certified by the Secretary of the Company pursuant to the Secretarys Certificate; and </w:t>
      </w:r>
    </w:p>
    <w:p>
      <w:pPr>
        <w:pStyle w:val="TextBody"/>
        <w:bidi w:val="0"/>
        <w:spacing w:before="240" w:after="0"/>
        <w:jc w:val="left"/>
        <w:rPr>
          <w:rFonts w:ascii="Times New Roman" w:hAnsi="Times New Roman"/>
          <w:sz w:val="20"/>
        </w:rPr>
      </w:pPr>
      <w:r>
        <w:rPr>
          <w:rFonts w:ascii="Times New Roman" w:hAnsi="Times New Roman"/>
          <w:sz w:val="20"/>
        </w:rPr>
        <w:t xml:space="preserve">(o) the executed notice of exercise of the Underwriters option to acquire the Option Securities, dated March 18, 2024. </w:t>
      </w:r>
    </w:p>
    <w:p>
      <w:pPr>
        <w:pStyle w:val="TextBody"/>
        <w:bidi w:val="0"/>
        <w:spacing w:before="240" w:after="0"/>
        <w:jc w:val="left"/>
        <w:rPr>
          <w:rFonts w:ascii="Times New Roman" w:hAnsi="Times New Roman"/>
          <w:sz w:val="20"/>
        </w:rPr>
      </w:pPr>
      <w:r>
        <w:rPr>
          <w:rFonts w:ascii="Times New Roman" w:hAnsi="Times New Roman"/>
          <w:sz w:val="20"/>
        </w:rPr>
        <w:t xml:space="preserve">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those in the Secretarys Certificate and the factual representations and warranties contained in the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Affiliated Managers Group, Inc. </w:t>
      </w:r>
    </w:p>
    <w:p>
      <w:pPr>
        <w:pStyle w:val="TextBody"/>
        <w:bidi w:val="0"/>
        <w:spacing w:before="0" w:after="0"/>
        <w:jc w:val="left"/>
        <w:rPr>
          <w:rFonts w:ascii="Times New Roman" w:hAnsi="Times New Roman"/>
          <w:sz w:val="20"/>
        </w:rPr>
      </w:pPr>
      <w:r>
        <w:rPr>
          <w:rFonts w:ascii="Times New Roman" w:hAnsi="Times New Roman"/>
          <w:sz w:val="20"/>
        </w:rPr>
        <w:t xml:space="preserve">March 20, 2024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We do not express any opinion with respect to the laws of any jurisdiction other than (i) the laws of the State of New York and (ii) the General Corporation Law of the State of Delaware (the </w:t>
      </w:r>
      <w:r>
        <w:rPr>
          <w:rFonts w:ascii="Times New Roman" w:hAnsi="Times New Roman"/>
          <w:sz w:val="20"/>
          <w:u w:val="single"/>
        </w:rPr>
        <w:t>DGCL</w:t>
      </w:r>
      <w:r>
        <w:rPr>
          <w:rFonts w:ascii="Times New Roman" w:hAnsi="Times New Roman"/>
          <w:sz w:val="20"/>
        </w:rPr>
        <w:t>) (all of the foregoing being referred to as </w:t>
      </w:r>
      <w:r>
        <w:rPr>
          <w:rFonts w:ascii="Times New Roman" w:hAnsi="Times New Roman"/>
          <w:sz w:val="20"/>
          <w:u w:val="single"/>
        </w:rPr>
        <w:t>Opined-on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used herein, </w:t>
      </w:r>
      <w:r>
        <w:rPr>
          <w:rFonts w:ascii="Times New Roman" w:hAnsi="Times New Roman"/>
          <w:sz w:val="20"/>
          <w:u w:val="single"/>
        </w:rPr>
        <w:t>Transaction Documents</w:t>
      </w:r>
      <w:r>
        <w:rPr>
          <w:rFonts w:ascii="Times New Roman" w:hAnsi="Times New Roman"/>
          <w:sz w:val="20"/>
        </w:rPr>
        <w:t xml:space="preserve"> means the Underwriting Agreement, the Indenture and the Note Certificate.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and assumptions stated herein, we are of the opinion that the Note Certificate has been duly authorized by all requisite corporate action on the part of the Company and duly executed by the Company under the DGCL, and when duly authenticated by the Trustee and issued and delivered by the Company against payment therefor in accordance with the terms of the Underwriting Agreement and the Indenture, the Note Certificate will constitute valid and binding obligations of the Company, enforceable against the Company in accordance with their terms under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opinions stated herein are subject to the following qualifications: </w:t>
      </w:r>
    </w:p>
    <w:p>
      <w:pPr>
        <w:pStyle w:val="TextBody"/>
        <w:bidi w:val="0"/>
        <w:spacing w:before="120" w:after="0"/>
        <w:jc w:val="left"/>
        <w:rPr>
          <w:rFonts w:ascii="Times New Roman" w:hAnsi="Times New Roman"/>
          <w:sz w:val="20"/>
        </w:rPr>
      </w:pPr>
      <w:r>
        <w:rPr>
          <w:rFonts w:ascii="Times New Roman" w:hAnsi="Times New Roman"/>
          <w:sz w:val="20"/>
        </w:rPr>
        <w:t xml:space="preserve">(a)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orders and by general principles of equity (regardless of whether enforcement is sought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(b) 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 </w:t>
      </w:r>
    </w:p>
    <w:p>
      <w:pPr>
        <w:pStyle w:val="TextBody"/>
        <w:bidi w:val="0"/>
        <w:spacing w:before="120" w:after="0"/>
        <w:jc w:val="left"/>
        <w:rPr>
          <w:rFonts w:ascii="Times New Roman" w:hAnsi="Times New Roman"/>
          <w:sz w:val="20"/>
        </w:rPr>
      </w:pPr>
      <w:r>
        <w:rPr>
          <w:rFonts w:ascii="Times New Roman" w:hAnsi="Times New Roman"/>
          <w:sz w:val="20"/>
        </w:rPr>
        <w:t xml:space="preserve">(c) except to the extent expressly stated in the opinions contained herein, we have assumed that each of the Transaction Documents constitutes the valid and binding obligation of each party to such Transaction Document, enforceable against such party in accordance with its terms;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Affiliated Managers Group, Inc. </w:t>
      </w:r>
    </w:p>
    <w:p>
      <w:pPr>
        <w:pStyle w:val="TextBody"/>
        <w:bidi w:val="0"/>
        <w:spacing w:before="0" w:after="0"/>
        <w:jc w:val="left"/>
        <w:rPr>
          <w:rFonts w:ascii="Times New Roman" w:hAnsi="Times New Roman"/>
          <w:sz w:val="20"/>
        </w:rPr>
      </w:pPr>
      <w:r>
        <w:rPr>
          <w:rFonts w:ascii="Times New Roman" w:hAnsi="Times New Roman"/>
          <w:sz w:val="20"/>
        </w:rPr>
        <w:t xml:space="preserve">March 20, 2024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 we do not express any opinion with respect to the enforceability of any provision contained in any Transaction Document relating to any indemnification, contribution, non reliance, exculpation, release limitation or exclusion of remedies or waiver that may be contrary to public policy or violative of federal or state securities laws, rules or regulations or to the extent any such provision purports to, or has the effect of, waiving or altering any statute of limitations;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 and </w:t>
      </w:r>
    </w:p>
    <w:p>
      <w:pPr>
        <w:pStyle w:val="TextBody"/>
        <w:bidi w:val="0"/>
        <w:spacing w:before="120" w:after="0"/>
        <w:jc w:val="left"/>
        <w:rPr>
          <w:rFonts w:ascii="Times New Roman" w:hAnsi="Times New Roman"/>
          <w:sz w:val="20"/>
        </w:rPr>
      </w:pPr>
      <w:r>
        <w:rPr>
          <w:rFonts w:ascii="Times New Roman" w:hAnsi="Times New Roman"/>
          <w:sz w:val="20"/>
        </w:rPr>
        <w:t xml:space="preserve">(f) 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rendering the foregoing opinions we have assumed that, at all applicable times: </w:t>
      </w:r>
    </w:p>
    <w:p>
      <w:pPr>
        <w:pStyle w:val="TextBody"/>
        <w:bidi w:val="0"/>
        <w:spacing w:before="120" w:after="0"/>
        <w:jc w:val="left"/>
        <w:rPr>
          <w:rFonts w:ascii="Times New Roman" w:hAnsi="Times New Roman"/>
          <w:sz w:val="20"/>
        </w:rPr>
      </w:pPr>
      <w:r>
        <w:rPr>
          <w:rFonts w:ascii="Times New Roman" w:hAnsi="Times New Roman"/>
          <w:sz w:val="20"/>
        </w:rPr>
        <w:t xml:space="preserve">(a) neither the execution and delivery by the Company of the Transaction Documents nor the performance by the Company of its obligations thereunder, including the issuance and sale of the Securities: (i) constituted or will constitute a violation of, or a default under, any lease, indenture, instrument or other agreement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for the year ended December 31, 2023), (ii) contravened or will contravene any order or decree of any governmental authority to which the Company or its property is subject, or (iii) violated or will violate any law, rule or regulation to which the Company or its property is subject (except that we do not make the assumption set forth in this clause (iii) with respect to the Opined-on Law); and </w:t>
      </w:r>
    </w:p>
    <w:p>
      <w:pPr>
        <w:pStyle w:val="TextBody"/>
        <w:bidi w:val="0"/>
        <w:spacing w:before="120" w:after="0"/>
        <w:jc w:val="left"/>
        <w:rPr>
          <w:rFonts w:ascii="Times New Roman" w:hAnsi="Times New Roman"/>
          <w:sz w:val="20"/>
        </w:rPr>
      </w:pPr>
      <w:r>
        <w:rPr>
          <w:rFonts w:ascii="Times New Roman" w:hAnsi="Times New Roman"/>
          <w:sz w:val="20"/>
        </w:rPr>
        <w:t xml:space="preserve">(b) neither the execution and delivery by the Company of the Transaction Documents nor the performance by the Company of its obligations thereunder, including the issuance and sale of the Securities, required or will require the consent, approval, licensing or authorization of, or any filing, recording or registration with, any governmental authority under any law, rule or regulation of any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Affiliated Managers Group, Inc. </w:t>
      </w:r>
    </w:p>
    <w:p>
      <w:pPr>
        <w:pStyle w:val="TextBody"/>
        <w:bidi w:val="0"/>
        <w:spacing w:before="0" w:after="0"/>
        <w:jc w:val="left"/>
        <w:rPr>
          <w:rFonts w:ascii="Times New Roman" w:hAnsi="Times New Roman"/>
          <w:sz w:val="20"/>
        </w:rPr>
      </w:pPr>
      <w:r>
        <w:rPr>
          <w:rFonts w:ascii="Times New Roman" w:hAnsi="Times New Roman"/>
          <w:sz w:val="20"/>
        </w:rPr>
        <w:t xml:space="preserve">March 20, 2024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 with the Commission as an exhibit to the Companys Current Report on Form 8-K being filed on the date hereof and incorporated by reference into the Registration Statement. This opinion is expressed as of the date hereof unless otherwise expressly stated, and we disclaim any undertaking to advise you of any subsequent changes in the facts stated or assumed herein or of any subsequent changes in applicable laws.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Skadden, Arps, Slate, Meagher &amp; Flom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LKB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04434/000119312519088500/d666868dex4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28657</Words>
  <Characters>148096</Characters>
  <CharactersWithSpaces>176335</CharactersWithSpaces>
  <Paragraphs>1092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