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26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220"/>
        <w:spacing w:after="0"/>
        <w:rPr>
          <w:sz w:val="20"/>
          <w:szCs w:val="20"/>
          <w:color w:val="auto"/>
        </w:rPr>
      </w:pPr>
      <w:r>
        <w:rPr>
          <w:rFonts w:ascii="Arial" w:cs="Arial" w:eastAsia="Arial" w:hAnsi="Arial"/>
          <w:sz w:val="22"/>
          <w:szCs w:val="22"/>
          <w:b w:val="1"/>
          <w:bCs w:val="1"/>
          <w:color w:val="auto"/>
        </w:rPr>
        <w:t>ANNUAL REPORT PURSUANT TO SECTION 13 OR 15(d) OF THE SECURITIES</w:t>
      </w:r>
    </w:p>
    <w:p>
      <w:pPr>
        <w:spacing w:after="0" w:line="14" w:lineRule="exact"/>
        <w:rPr>
          <w:sz w:val="24"/>
          <w:szCs w:val="24"/>
          <w:color w:val="auto"/>
        </w:rPr>
      </w:pPr>
    </w:p>
    <w:p>
      <w:pPr>
        <w:ind w:left="2220" w:hanging="1429"/>
        <w:spacing w:after="0"/>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EXCHANGE ACT OF 1934</w:t>
      </w:r>
    </w:p>
    <w:p>
      <w:pPr>
        <w:spacing w:after="0" w:line="24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97" w:lineRule="exact"/>
        <w:rPr>
          <w:sz w:val="24"/>
          <w:szCs w:val="24"/>
          <w:color w:val="auto"/>
        </w:rPr>
      </w:pPr>
    </w:p>
    <w:p>
      <w:pPr>
        <w:ind w:left="222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spacing w:after="0" w:line="26" w:lineRule="exact"/>
        <w:rPr>
          <w:sz w:val="24"/>
          <w:szCs w:val="24"/>
          <w:color w:val="auto"/>
        </w:rPr>
      </w:pPr>
    </w:p>
    <w:p>
      <w:pPr>
        <w:ind w:left="2220" w:hanging="1429"/>
        <w:spacing w:after="0"/>
        <w:tabs>
          <w:tab w:leader="none" w:pos="22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EXCHANGE ACT OF 1934</w:t>
      </w:r>
    </w:p>
    <w:p>
      <w:pPr>
        <w:spacing w:after="0" w:line="272" w:lineRule="exact"/>
        <w:rPr>
          <w:sz w:val="24"/>
          <w:szCs w:val="24"/>
          <w:color w:val="auto"/>
        </w:rPr>
      </w:pPr>
    </w:p>
    <w:p>
      <w:pPr>
        <w:ind w:left="4200"/>
        <w:spacing w:after="0"/>
        <w:tabs>
          <w:tab w:leader="none" w:pos="70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001-13459</w:t>
      </w:r>
    </w:p>
    <w:p>
      <w:pPr>
        <w:spacing w:after="0" w:line="279" w:lineRule="exact"/>
        <w:rPr>
          <w:sz w:val="24"/>
          <w:szCs w:val="24"/>
          <w:color w:val="auto"/>
        </w:rPr>
      </w:pPr>
    </w:p>
    <w:p>
      <w:pPr>
        <w:ind w:left="3060"/>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98425</wp:posOffset>
            </wp:positionV>
            <wp:extent cx="79756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AFFILIATED MANAGERS GROUP, INC.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240" w:top="233" w:right="419" w:bottom="0" w:gutter="0" w:footer="0" w:header="0"/>
        </w:sectPr>
      </w:pPr>
    </w:p>
    <w:p>
      <w:pPr>
        <w:spacing w:after="0" w:line="151" w:lineRule="exact"/>
        <w:rPr>
          <w:sz w:val="24"/>
          <w:szCs w:val="24"/>
          <w:color w:val="auto"/>
        </w:rPr>
      </w:pPr>
    </w:p>
    <w:p>
      <w:pPr>
        <w:ind w:left="29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04-3218510</w:t>
      </w:r>
    </w:p>
    <w:p>
      <w:pPr>
        <w:spacing w:after="0" w:line="90" w:lineRule="exact"/>
        <w:rPr>
          <w:sz w:val="24"/>
          <w:szCs w:val="24"/>
          <w:color w:val="auto"/>
        </w:rPr>
      </w:pPr>
    </w:p>
    <w:p>
      <w:pPr>
        <w:sectPr>
          <w:pgSz w:w="11900" w:h="16838" w:orient="portrait"/>
          <w:cols w:equalWidth="0" w:num="2">
            <w:col w:w="6940" w:space="720"/>
            <w:col w:w="3580"/>
          </w:cols>
          <w:pgMar w:left="240" w:top="233" w:right="419" w:bottom="0" w:gutter="0" w:footer="0" w:header="0"/>
          <w:type w:val="continuous"/>
        </w:sectPr>
      </w:pPr>
    </w:p>
    <w:p>
      <w:pPr>
        <w:jc w:val="center"/>
        <w:ind w:left="68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left="68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406" w:lineRule="exact"/>
        <w:rPr>
          <w:sz w:val="24"/>
          <w:szCs w:val="24"/>
          <w:color w:val="auto"/>
        </w:rPr>
      </w:pPr>
    </w:p>
    <w:p>
      <w:pPr>
        <w:sectPr>
          <w:pgSz w:w="11900" w:h="16838" w:orient="portrait"/>
          <w:cols w:equalWidth="0" w:num="2">
            <w:col w:w="5980" w:space="720"/>
            <w:col w:w="4540"/>
          </w:cols>
          <w:pgMar w:left="240" w:top="233" w:right="419" w:bottom="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777 South Flagler Drive, West Palm Beach, Florida, 33401</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177165</wp:posOffset>
            </wp:positionV>
            <wp:extent cx="3249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5"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3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20" w:type="dxa"/>
            <w:vAlign w:val="bottom"/>
          </w:tcPr>
          <w:p>
            <w:pPr>
              <w:spacing w:after="0"/>
              <w:rPr>
                <w:sz w:val="16"/>
                <w:szCs w:val="16"/>
                <w:color w:val="auto"/>
              </w:rPr>
            </w:pPr>
          </w:p>
        </w:tc>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600" w:type="dxa"/>
            <w:vAlign w:val="bottom"/>
          </w:tcPr>
          <w:p>
            <w:pPr>
              <w:spacing w:after="0"/>
              <w:rPr>
                <w:sz w:val="21"/>
                <w:szCs w:val="21"/>
                <w:color w:val="auto"/>
              </w:rPr>
            </w:pPr>
          </w:p>
        </w:tc>
        <w:tc>
          <w:tcPr>
            <w:tcW w:w="3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AMG</w:t>
            </w:r>
          </w:p>
        </w:tc>
        <w:tc>
          <w:tcPr>
            <w:tcW w:w="3160" w:type="dxa"/>
            <w:vAlign w:val="bottom"/>
            <w:gridSpan w:val="2"/>
          </w:tcPr>
          <w:p>
            <w:pPr>
              <w:jc w:val="center"/>
              <w:ind w:left="636"/>
              <w:spacing w:after="0"/>
              <w:rPr>
                <w:sz w:val="20"/>
                <w:szCs w:val="20"/>
                <w:color w:val="auto"/>
              </w:rPr>
            </w:pPr>
            <w:r>
              <w:rPr>
                <w:rFonts w:ascii="Arial" w:cs="Arial" w:eastAsia="Arial" w:hAnsi="Arial"/>
                <w:sz w:val="18"/>
                <w:szCs w:val="18"/>
                <w:b w:val="1"/>
                <w:bCs w:val="1"/>
                <w:color w:val="auto"/>
                <w:w w:val="90"/>
              </w:rPr>
              <w:t>New York Stock Exchange</w:t>
            </w:r>
          </w:p>
        </w:tc>
        <w:tc>
          <w:tcPr>
            <w:tcW w:w="72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3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5.875% Junior Subordinated Notes due 2059</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MGR</w:t>
            </w:r>
          </w:p>
        </w:tc>
        <w:tc>
          <w:tcPr>
            <w:tcW w:w="3160" w:type="dxa"/>
            <w:vAlign w:val="bottom"/>
            <w:gridSpan w:val="2"/>
          </w:tcPr>
          <w:p>
            <w:pPr>
              <w:jc w:val="center"/>
              <w:ind w:left="636"/>
              <w:spacing w:after="0"/>
              <w:rPr>
                <w:sz w:val="20"/>
                <w:szCs w:val="20"/>
                <w:color w:val="auto"/>
              </w:rPr>
            </w:pPr>
            <w:r>
              <w:rPr>
                <w:rFonts w:ascii="Arial" w:cs="Arial" w:eastAsia="Arial" w:hAnsi="Arial"/>
                <w:sz w:val="18"/>
                <w:szCs w:val="18"/>
                <w:b w:val="1"/>
                <w:bCs w:val="1"/>
                <w:color w:val="auto"/>
                <w:w w:val="90"/>
              </w:rPr>
              <w:t>New York Stock Exchange</w:t>
            </w:r>
          </w:p>
        </w:tc>
        <w:tc>
          <w:tcPr>
            <w:tcW w:w="720" w:type="dxa"/>
            <w:vAlign w:val="bottom"/>
          </w:tcPr>
          <w:p>
            <w:pPr>
              <w:spacing w:after="0"/>
              <w:rPr>
                <w:sz w:val="23"/>
                <w:szCs w:val="23"/>
                <w:color w:val="auto"/>
              </w:rPr>
            </w:pPr>
          </w:p>
        </w:tc>
      </w:tr>
      <w:tr>
        <w:trPr>
          <w:trHeight w:val="675"/>
        </w:trPr>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40" w:type="dxa"/>
            <w:vAlign w:val="bottom"/>
            <w:gridSpan w:val="6"/>
          </w:tcPr>
          <w:p>
            <w:pPr>
              <w:jc w:val="center"/>
              <w:ind w:right="134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20" w:type="dxa"/>
            <w:vAlign w:val="bottom"/>
          </w:tcPr>
          <w:p>
            <w:pPr>
              <w:spacing w:after="0"/>
              <w:rPr>
                <w:sz w:val="24"/>
                <w:szCs w:val="24"/>
                <w:color w:val="auto"/>
              </w:rPr>
            </w:pPr>
          </w:p>
        </w:tc>
      </w:tr>
      <w:tr>
        <w:trPr>
          <w:trHeight w:val="648"/>
        </w:trPr>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None</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35"/>
        </w:trPr>
        <w:tc>
          <w:tcPr>
            <w:tcW w:w="2660" w:type="dxa"/>
            <w:vAlign w:val="bottom"/>
            <w:gridSpan w:val="2"/>
          </w:tcPr>
          <w:p>
            <w:pPr>
              <w:spacing w:after="0"/>
              <w:rPr>
                <w:sz w:val="11"/>
                <w:szCs w:val="11"/>
                <w:color w:val="auto"/>
              </w:rPr>
            </w:pPr>
          </w:p>
        </w:tc>
        <w:tc>
          <w:tcPr>
            <w:tcW w:w="5120" w:type="dxa"/>
            <w:vAlign w:val="bottom"/>
            <w:tcBorders>
              <w:bottom w:val="single" w:sz="8" w:color="auto"/>
            </w:tcBorders>
            <w:gridSpan w:val="5"/>
          </w:tcPr>
          <w:p>
            <w:pPr>
              <w:spacing w:after="0"/>
              <w:rPr>
                <w:sz w:val="11"/>
                <w:szCs w:val="11"/>
                <w:color w:val="auto"/>
              </w:rPr>
            </w:pPr>
          </w:p>
        </w:tc>
        <w:tc>
          <w:tcPr>
            <w:tcW w:w="1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486"/>
        </w:trPr>
        <w:tc>
          <w:tcPr>
            <w:tcW w:w="9100" w:type="dxa"/>
            <w:vAlign w:val="bottom"/>
            <w:gridSpan w:val="8"/>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486"/>
        </w:trPr>
        <w:tc>
          <w:tcPr>
            <w:tcW w:w="910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7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36"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40"/>
          </w:cols>
          <w:pgMar w:left="240" w:top="233" w:right="419" w:bottom="0" w:gutter="0" w:footer="0" w:header="0"/>
          <w:type w:val="continuous"/>
        </w:sectPr>
      </w:pPr>
    </w:p>
    <w:bookmarkStart w:id="1" w:name="page2"/>
    <w:bookmarkEnd w:id="1"/>
    <w:p>
      <w:pPr>
        <w:ind w:firstLine="48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0"/>
          <w:szCs w:val="20"/>
          <w:color w:val="auto"/>
        </w:rPr>
      </w:pPr>
    </w:p>
    <w:p>
      <w:pPr>
        <w:spacing w:after="0" w:line="207" w:lineRule="exact"/>
        <w:tabs>
          <w:tab w:leader="none" w:pos="1100" w:val="left"/>
        </w:tabs>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60" w:right="279" w:bottom="1440" w:gutter="0" w:footer="0" w:header="0"/>
        </w:sect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Emerging growth</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0" w:lineRule="exact"/>
        <w:rPr>
          <w:sz w:val="20"/>
          <w:szCs w:val="20"/>
          <w:color w:val="auto"/>
        </w:rPr>
      </w:pPr>
    </w:p>
    <w:p>
      <w:pPr>
        <w:sectPr>
          <w:pgSz w:w="11900" w:h="16838" w:orient="portrait"/>
          <w:cols w:equalWidth="0" w:num="8">
            <w:col w:w="2080" w:space="340"/>
            <w:col w:w="160" w:space="360"/>
            <w:col w:w="1420" w:space="540"/>
            <w:col w:w="1740" w:space="360"/>
            <w:col w:w="1960" w:space="60"/>
            <w:col w:w="160" w:space="380"/>
            <w:col w:w="1260" w:space="260"/>
            <w:col w:w="300"/>
          </w:cols>
          <w:pgMar w:left="240" w:top="260" w:right="279" w:bottom="1440" w:gutter="0" w:footer="0" w:header="0"/>
          <w:type w:val="continuous"/>
        </w:sectPr>
      </w:pPr>
    </w:p>
    <w:p>
      <w:pPr>
        <w:spacing w:after="0" w:line="92" w:lineRule="exact"/>
        <w:rPr>
          <w:sz w:val="20"/>
          <w:szCs w:val="20"/>
          <w:color w:val="auto"/>
        </w:rPr>
      </w:pPr>
    </w:p>
    <w:p>
      <w:pPr>
        <w:ind w:right="16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4" w:lineRule="exact"/>
        <w:rPr>
          <w:sz w:val="20"/>
          <w:szCs w:val="20"/>
          <w:color w:val="auto"/>
        </w:rPr>
      </w:pPr>
    </w:p>
    <w:p>
      <w:pPr>
        <w:ind w:left="500"/>
        <w:spacing w:after="0" w:line="196" w:lineRule="exact"/>
        <w:tabs>
          <w:tab w:leader="none" w:pos="8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32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At June 30, 2019, the aggregate market value of the common stock held by non-affiliates of the registrant, based upon the closing price of $92.14 on June 28, 2019 on the New York Stock Exchange, was $4,627,759,695. There were 47,867,765 shares of the registrant’s common stock outstanding on February 25, 2020.</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Portions of the definitive proxy statement to be filed with the Securities and Exchange Commission within 120 days after December 31, 2019, and delivered to stockholders in connection with the registrant’s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213360</wp:posOffset>
            </wp:positionV>
            <wp:extent cx="7237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ectPr>
          <w:pgSz w:w="11900" w:h="16838" w:orient="portrait"/>
          <w:cols w:equalWidth="0" w:num="1">
            <w:col w:w="11380"/>
          </w:cols>
          <w:pgMar w:left="240" w:top="260"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88"/>
        </w:trPr>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gridSpan w:val="8"/>
          </w:tcPr>
          <w:p>
            <w:pPr>
              <w:jc w:val="center"/>
              <w:ind w:right="4740"/>
              <w:spacing w:after="0"/>
              <w:rPr>
                <w:sz w:val="20"/>
                <w:szCs w:val="20"/>
                <w:color w:val="auto"/>
              </w:rPr>
            </w:pPr>
            <w:r>
              <w:rPr>
                <w:rFonts w:ascii="Arial" w:cs="Arial" w:eastAsia="Arial" w:hAnsi="Arial"/>
                <w:sz w:val="18"/>
                <w:szCs w:val="18"/>
                <w:b w:val="1"/>
                <w:bCs w:val="1"/>
                <w:color w:val="auto"/>
              </w:rPr>
              <w:t>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40" w:type="dxa"/>
            <w:vAlign w:val="bottom"/>
            <w:gridSpan w:val="9"/>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640" w:type="dxa"/>
            <w:vAlign w:val="bottom"/>
            <w:gridSpan w:val="9"/>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960" w:type="dxa"/>
            <w:vAlign w:val="bottom"/>
            <w:gridSpan w:val="5"/>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1B.</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160" w:type="dxa"/>
            <w:vAlign w:val="bottom"/>
            <w:tcBorders>
              <w:top w:val="single" w:sz="8" w:color="0000EE"/>
            </w:tcBorders>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750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3.</w:t>
              </w:r>
            </w:hyperlink>
          </w:p>
        </w:tc>
        <w:tc>
          <w:tcPr>
            <w:tcW w:w="960" w:type="dxa"/>
            <w:vAlign w:val="bottom"/>
            <w:gridSpan w:val="5"/>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20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4.</w:t>
              </w:r>
            </w:hyperlink>
          </w:p>
        </w:tc>
        <w:tc>
          <w:tcPr>
            <w:tcW w:w="960" w:type="dxa"/>
            <w:vAlign w:val="bottom"/>
            <w:gridSpan w:val="5"/>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776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5.</w:t>
              </w:r>
            </w:hyperlink>
          </w:p>
        </w:tc>
        <w:tc>
          <w:tcPr>
            <w:tcW w:w="20" w:type="dxa"/>
            <w:vAlign w:val="bottom"/>
            <w:tcBorders>
              <w:top w:val="single" w:sz="8" w:color="0000EE"/>
            </w:tcBorders>
          </w:tcPr>
          <w:p>
            <w:pPr>
              <w:spacing w:after="0"/>
              <w:rPr>
                <w:sz w:val="21"/>
                <w:szCs w:val="21"/>
                <w:color w:val="auto"/>
              </w:rPr>
            </w:pPr>
          </w:p>
        </w:tc>
        <w:tc>
          <w:tcPr>
            <w:tcW w:w="940" w:type="dxa"/>
            <w:vAlign w:val="bottom"/>
            <w:gridSpan w:val="4"/>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Item 6.</w:t>
              </w:r>
            </w:hyperlink>
          </w:p>
        </w:tc>
        <w:tc>
          <w:tcPr>
            <w:tcW w:w="960" w:type="dxa"/>
            <w:vAlign w:val="bottom"/>
            <w:gridSpan w:val="5"/>
          </w:tcPr>
          <w:p>
            <w:pPr>
              <w:spacing w:after="0"/>
              <w:rPr>
                <w:sz w:val="21"/>
                <w:szCs w:val="21"/>
                <w:color w:val="auto"/>
              </w:rPr>
            </w:pP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3"/>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7.</w:t>
              </w:r>
            </w:hyperlink>
          </w:p>
        </w:tc>
        <w:tc>
          <w:tcPr>
            <w:tcW w:w="960" w:type="dxa"/>
            <w:vAlign w:val="bottom"/>
            <w:gridSpan w:val="5"/>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7A.</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8.</w:t>
              </w:r>
            </w:hyperlink>
          </w:p>
        </w:tc>
        <w:tc>
          <w:tcPr>
            <w:tcW w:w="160" w:type="dxa"/>
            <w:vAlign w:val="bottom"/>
            <w:tcBorders>
              <w:top w:val="single" w:sz="8" w:color="0000EE"/>
            </w:tcBorders>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518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Item 9.</w:t>
              </w:r>
            </w:hyperlink>
          </w:p>
        </w:tc>
        <w:tc>
          <w:tcPr>
            <w:tcW w:w="960" w:type="dxa"/>
            <w:vAlign w:val="bottom"/>
            <w:gridSpan w:val="5"/>
          </w:tcPr>
          <w:p>
            <w:pPr>
              <w:spacing w:after="0"/>
              <w:rPr>
                <w:sz w:val="21"/>
                <w:szCs w:val="21"/>
                <w:color w:val="auto"/>
              </w:rPr>
            </w:pPr>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Changes in and Disagreements With Accountants on Accounting and Financial Disclosure</w:t>
              </w:r>
            </w:hyperlink>
          </w:p>
        </w:tc>
        <w:tc>
          <w:tcPr>
            <w:tcW w:w="3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9A.</w:t>
              </w:r>
            </w:hyperlink>
          </w:p>
        </w:tc>
        <w:tc>
          <w:tcPr>
            <w:tcW w:w="800" w:type="dxa"/>
            <w:vAlign w:val="bottom"/>
            <w:gridSpan w:val="2"/>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Controls and Procedures</w:t>
              </w:r>
            </w:hyperlink>
          </w:p>
        </w:tc>
        <w:tc>
          <w:tcPr>
            <w:tcW w:w="776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9B.</w:t>
              </w:r>
            </w:hyperlink>
          </w:p>
        </w:tc>
        <w:tc>
          <w:tcPr>
            <w:tcW w:w="800" w:type="dxa"/>
            <w:vAlign w:val="bottom"/>
            <w:gridSpan w:val="2"/>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Other Information</w:t>
              </w:r>
            </w:hyperlink>
          </w:p>
        </w:tc>
        <w:tc>
          <w:tcPr>
            <w:tcW w:w="822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2"/>
              </w:rPr>
            </w:pPr>
            <w:hyperlink w:anchor="page81">
              <w:r>
                <w:rPr>
                  <w:rFonts w:ascii="Arial" w:cs="Arial" w:eastAsia="Arial" w:hAnsi="Arial"/>
                  <w:sz w:val="18"/>
                  <w:szCs w:val="18"/>
                  <w:color w:val="0000EE"/>
                  <w:w w:val="82"/>
                </w:rPr>
                <w:t>Item 10.</w:t>
              </w:r>
            </w:hyperlink>
          </w:p>
        </w:tc>
        <w:tc>
          <w:tcPr>
            <w:tcW w:w="880" w:type="dxa"/>
            <w:vAlign w:val="bottom"/>
            <w:gridSpan w:val="3"/>
          </w:tcPr>
          <w:p>
            <w:pPr>
              <w:spacing w:after="0"/>
              <w:rPr>
                <w:sz w:val="21"/>
                <w:szCs w:val="21"/>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Directors, Executive Officers and Corporate Governance</w:t>
              </w:r>
            </w:hyperlink>
          </w:p>
        </w:tc>
        <w:tc>
          <w:tcPr>
            <w:tcW w:w="544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1">
              <w:r>
                <w:rPr>
                  <w:rFonts w:ascii="Arial" w:cs="Arial" w:eastAsia="Arial" w:hAnsi="Arial"/>
                  <w:sz w:val="18"/>
                  <w:szCs w:val="18"/>
                  <w:color w:val="0000EE"/>
                  <w:w w:val="82"/>
                </w:rPr>
                <w:t>Item 11.</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3"/>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bottom w:val="single" w:sz="8" w:color="0000EE"/>
            </w:tcBorders>
            <w:gridSpan w:val="4"/>
          </w:tcPr>
          <w:p>
            <w:pPr>
              <w:spacing w:after="0"/>
              <w:rPr>
                <w:rFonts w:ascii="Arial" w:cs="Arial" w:eastAsia="Arial" w:hAnsi="Arial"/>
                <w:sz w:val="18"/>
                <w:szCs w:val="18"/>
                <w:color w:val="0000EE"/>
                <w:w w:val="82"/>
              </w:rPr>
            </w:pPr>
            <w:hyperlink w:anchor="page81">
              <w:r>
                <w:rPr>
                  <w:rFonts w:ascii="Arial" w:cs="Arial" w:eastAsia="Arial" w:hAnsi="Arial"/>
                  <w:sz w:val="18"/>
                  <w:szCs w:val="18"/>
                  <w:color w:val="0000EE"/>
                  <w:w w:val="82"/>
                </w:rPr>
                <w:t>Item 12.</w:t>
              </w:r>
            </w:hyperlink>
          </w:p>
        </w:tc>
        <w:tc>
          <w:tcPr>
            <w:tcW w:w="880" w:type="dxa"/>
            <w:vAlign w:val="bottom"/>
            <w:gridSpan w:val="3"/>
          </w:tcPr>
          <w:p>
            <w:pPr>
              <w:spacing w:after="0"/>
              <w:rPr>
                <w:sz w:val="21"/>
                <w:szCs w:val="21"/>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1">
              <w:r>
                <w:rPr>
                  <w:rFonts w:ascii="Arial" w:cs="Arial" w:eastAsia="Arial" w:hAnsi="Arial"/>
                  <w:sz w:val="18"/>
                  <w:szCs w:val="18"/>
                  <w:color w:val="0000EE"/>
                  <w:w w:val="82"/>
                </w:rPr>
                <w:t>Item 13.</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top w:val="single" w:sz="8" w:color="0000EE"/>
            </w:tcBorders>
            <w:gridSpan w:val="4"/>
          </w:tcPr>
          <w:p>
            <w:pPr>
              <w:spacing w:after="0"/>
              <w:rPr>
                <w:rFonts w:ascii="Arial" w:cs="Arial" w:eastAsia="Arial" w:hAnsi="Arial"/>
                <w:sz w:val="18"/>
                <w:szCs w:val="18"/>
                <w:color w:val="0000EE"/>
                <w:w w:val="82"/>
              </w:rPr>
            </w:pPr>
            <w:hyperlink w:anchor="page81">
              <w:r>
                <w:rPr>
                  <w:rFonts w:ascii="Arial" w:cs="Arial" w:eastAsia="Arial" w:hAnsi="Arial"/>
                  <w:sz w:val="18"/>
                  <w:szCs w:val="18"/>
                  <w:color w:val="0000EE"/>
                  <w:w w:val="82"/>
                </w:rPr>
                <w:t>Item 14.</w:t>
              </w:r>
            </w:hyperlink>
          </w:p>
        </w:tc>
        <w:tc>
          <w:tcPr>
            <w:tcW w:w="880" w:type="dxa"/>
            <w:vAlign w:val="bottom"/>
            <w:gridSpan w:val="3"/>
          </w:tcPr>
          <w:p>
            <w:pPr>
              <w:spacing w:after="0"/>
              <w:rPr>
                <w:sz w:val="21"/>
                <w:szCs w:val="21"/>
                <w:color w:val="auto"/>
              </w:rPr>
            </w:pPr>
          </w:p>
        </w:tc>
        <w:tc>
          <w:tcPr>
            <w:tcW w:w="5400" w:type="dxa"/>
            <w:vAlign w:val="bottom"/>
            <w:tcBorders>
              <w:top w:val="single" w:sz="8" w:color="0000EE"/>
            </w:tcBorders>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Accountant Fees and Services</w:t>
              </w:r>
            </w:hyperlink>
          </w:p>
        </w:tc>
        <w:tc>
          <w:tcPr>
            <w:tcW w:w="4140" w:type="dxa"/>
            <w:vAlign w:val="bottom"/>
            <w:gridSpan w:val="5"/>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20"/>
        </w:trPr>
        <w:tc>
          <w:tcPr>
            <w:tcW w:w="180" w:type="dxa"/>
            <w:vAlign w:val="bottom"/>
            <w:gridSpan w:val="2"/>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IV</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15.</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16.</w:t>
              </w:r>
            </w:hyperlink>
          </w:p>
        </w:tc>
        <w:tc>
          <w:tcPr>
            <w:tcW w:w="880" w:type="dxa"/>
            <w:vAlign w:val="bottom"/>
            <w:gridSpan w:val="3"/>
          </w:tcPr>
          <w:p>
            <w:pPr>
              <w:spacing w:after="0"/>
              <w:rPr>
                <w:sz w:val="21"/>
                <w:szCs w:val="21"/>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21"/>
                <w:szCs w:val="21"/>
                <w:color w:val="auto"/>
              </w:rPr>
            </w:pPr>
          </w:p>
        </w:tc>
        <w:tc>
          <w:tcPr>
            <w:tcW w:w="6640" w:type="dxa"/>
            <w:vAlign w:val="bottom"/>
            <w:gridSpan w:val="9"/>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108"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i w:val="1"/>
          <w:iCs w:val="1"/>
          <w:color w:val="auto"/>
        </w:rPr>
        <w:t>Certain matters discussed in this Annual Report on Form 10-K, in our other filings with the U.S.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These factors (among others) could affect our financial performance and cause actual results to differ materially from historical earnings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global asset management company with equity investments in high-quality boutique investment management firms, which we call our “Affiliates.” Our strategy is to generate long-term value by investing in leading independent active investment managers, through a proven partnership approach, and allocating resources across our unique opportunity set to the areas of highest growth and return. Through our innovative partnership approach, each Affiliate’s management team retains significant equity ownership in their firm while maintaining operational autonomy. In addition, we offer centralized capabilities to our Affiliates across a variety of areas, including strategy, marketing and distribution, and product development. As of December 31, 2019, our aggregate assets under management were approximately $726 billion, pro forma for a new Affiliate investment which has since been completed, across a broad range of active, return-oriented strategies.</w:t>
      </w:r>
    </w:p>
    <w:p>
      <w:pPr>
        <w:spacing w:after="0" w:line="189"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AMG’s Affiliates are successful independent investment firms, typically founded by a group of entrepreneurial partners who have built a specialized, investment-centric culture over time, value their independence, and intend to build an enduring franchise which serves clients across generations of management principals. Given their long-term investment performance records, our Affiliates are recognized as being among the industry’s leaders in their respective investment disciplines. Independent firms seeking an institutional partner are attracted to AMG’s unique partnership approach and our global reputation and track record across nearly three decades as a successful and supportive partner to boutique firms around the world.</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hold meaningful equity interests in each of our Affiliates, and typically each Affiliate’s management team retains a significant equity interest in their own firm. Affiliate management equity ownership (along with AMG’s long-term ownership) aligns our interests and preserves Affiliate management equity incentives, including the opportunity for Affiliate management to participate directly in the long-term future growth and profitability of their firms. Our innovative partnership approach maintains our Affiliates’ unique entrepreneurial cultures, investment independence, and operational autonomy in managing their businesses.</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certain cases, we invest in our Affiliates by providing growth capital or complementing their own marketing resources with AMG’s proven global distribution capabilities. We also provide succession planning solutions and advice to our Affiliates, which can include a degree of liquidity and financial diversification along with incentive alignment for next-generation partners. We take a long-term partnership approach with our Affiliates, which provides stability in facilitating succession planning across generations of Affiliate management principals. AMG is uniquely able to provide strategic support and expertise across various stages of boutique firms’ growth. We believe clients recognize that through certain fundamental characteristics of focused boutique managers, especially equity ownership and investment independence, these firms are well-positioned to achieve client investment goals and objectives, especially through alpha generation. AMG’s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investment approach preserves these essential elements of boutique firms, and in partnering with us, our Affiliates can continue to grow while retaining their independence.</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AMG generates long-term value by investing in new Affiliates, investing in existing Affiliates, and investing in centralized capabilities through which we can leverage AMG’s scale and resources to benefit our Affiliates and enhance their long-term growth prospects. In partnering with Affiliates, we are focused on investing in leading boutique investment management firms around the world managing active, return-oriented strategies, including traditional, alternative, and wealth management firms. Within our target universe, we seek strong and growing boutiques that offer illiquid and liquid alternative strategies, global equities strategies and multi-asset and fixed income strategies.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anticipate that the principal owners of boutique investment management firms will continue to seek access to an evolving range of growth and succession solutions. We will, therefore, continue to have a significant opportunity to invest in outstanding firms across the global asset management industry, including investment opportunities resulting from subsidiary divestitures, secondary sales and other special situations. In addition, we have the opportunity to make additional equity investments in our existing Affiliates, or invest in their growth by providing seed or other growth capital. We are well-positioned to execute upon these investment opportunities through our established process of identifying and cultivating high-quality investment prospects; our broad industry network and proprietary relationships developed with prospects over many years; our substantial experience and expertise in structuring and negotiating transactions; and our strong global reputation as an outstanding partner to our Affiliates, as well as for providing innovative solutions for the strategic needs of boutique investment management firms.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14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active, return-oriented strategies designed to assist institutional, retail and high net worth clients worldwide in achieving their investment objectives. We manage disciplined and focused investment strategies that address the specialized needs of institutional clients, including foundations and endowments, defined benefit and defined contribution plans for corporations and municipalities, and multi-employer plans. We provide boutique investment management expertise to retail investors through advisory and sub-advisory services to active, return-oriented mutual funds, Undertakings for the Collective Investment of Transferable Securities (“UCITS”), collective investment trusts and other retail products. We also provide investment management and customized investment counseling and fiduciary services to high net worth individuals, families, charitable foundations and individually managed accounts directly and through intermediaries, including brokerage firms or other sponsors.</w:t>
      </w:r>
    </w:p>
    <w:p>
      <w:pPr>
        <w:spacing w:after="0" w:line="12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2019, we managed approximately $726 billion, pro forma for a new Affiliate investment which has since been completed, in equities, alternative and multi-asset strategies across investment styles, asset classes and geographies. The following chart provides information regarding our equities, alternative and multi-asset strategies as of December 31, 2019.</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163830</wp:posOffset>
            </wp:positionV>
            <wp:extent cx="3927475" cy="248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2747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Through our Affiliates, we offer investors access to a broad and diverse array of independent boutique managers with distinct brands and specialized investment processes. Our Affiliates distribute their investment services and products to institutional investors through direct sales efforts and established relationships with consultants and intermediaries around the world through their own business development resources. In addition, our global distribution platform operates in major markets to extend the reach of our Affiliates’ own business development efforts, including strategy, marketing, distribution and product development. Our Affiliates benefit from the expertise of our senior sales and marketing professionals located in Asia, Australia, Europe, the Middle East, the UK and the U.S.</w:t>
      </w:r>
    </w:p>
    <w:p>
      <w:pPr>
        <w:spacing w:after="0" w:line="19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Affiliates’ investment management services are also distributed globally to retail investors through our Affiliates’ own efforts and through our retail distribution platforms in the form of advisory and sub-advisory services to mutual funds and other retail oriented products. Our Affiliates’ investment management services are delivered to retail investors through various intermediaries, including independent investment advisers, retirement plan sponsors, broker-dealers, major fund marketplaces, sponsors of separately managed accounts (including unified managed accounts), and bank trust departments.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Affiliates currently manage assets for investors in more than 50 countries, including all major developed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 and Relationship with Affiliates</w:t>
      </w:r>
    </w:p>
    <w:p>
      <w:pPr>
        <w:spacing w:after="0" w:line="2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and profitability of their firm. Our innovative partnership approach maintains our Affiliates’ unique entrepreneurial cultures, investment independence, and operational autonomy in managing their businesses.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w:t>
      </w:r>
    </w:p>
    <w:p>
      <w:pPr>
        <w:spacing w:after="0" w:line="23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Each of our Affiliates operates through distinct legal entities, which affords us the flexibility to design a separate operating agreement for each Affiliate that reflects our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22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distributions to Affiliate management. We and Affiliate management, therefore, participate in any increase or decrease in revenue, and only Affiliate management participates in any increase or decrease in expenses. Under these structured partnership interests our contractual share of revenue generally has priority over distributions to Affiliate management.</w:t>
      </w:r>
    </w:p>
    <w:p>
      <w:pPr>
        <w:spacing w:after="0" w:line="22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w:t>
      </w:r>
    </w:p>
    <w:p>
      <w:pPr>
        <w:spacing w:after="0" w:line="24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When we own a controlling equity interest in an Affiliate, we consolidate the Affiliate’s financial results into our Consolidated Financial Statements. When we do not own a controlling equity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income (loss) (net) in our Consolidated Statements of Income, and our interest in these Affiliates is reported in Equity method investments in Affiliates (net) in our Consolidated Balance Sheets.</w:t>
      </w:r>
    </w:p>
    <w:p>
      <w:pPr>
        <w:spacing w:after="0" w:line="9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Whether we consolidate an Affiliate’s financial results or use the equity method of accounting, we maintain the same innovative partnership approach and provide support and assistance in substantially the same manner for all of our Affiliates. From time to time, we may restructure our interest in an Affiliate to better support the Affiliate’s growth strategy.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Affiliates compete with a large number of domestic and foreign investment management firms, as well as with subsidiaries of larger financial organizations. These firms may have significantly greater financial, technological and marketing resources, captive distribution and assets under management. Many of these firms offer an even broader array of products and services in particular investment strategies such as passively-managed products, including exchange traded funds, that typically carry lower fee rates. Certain of our Affiliates offer their investment management services to the same client types and, from time to time, may compete with each other for clients. In addition, there are relatively few barriers to entry for new investment management firms, especially for those looking to provide investment management services to institutional and high net worth investors. We believe that the most important factors affecting our Affiliates’ ability to compete for clients are the:</w:t>
      </w:r>
    </w:p>
    <w:p>
      <w:pPr>
        <w:spacing w:after="0" w:line="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performance, investment styles, and reputations of our Affiliates and their management teams;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diversity of our Affiliates’ investment strategies and products and the continued development, either organically or through new investments, of investment strategies to meet the changing needs and risk tolerances of investors;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depth and continuity of our and our Affiliates’ client relationships and the level of client service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strong business relationships by us and our Affiliates with major intermediaries;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success of our and our Affiliates’ distribution efforts.</w:t>
      </w:r>
    </w:p>
    <w:p>
      <w:pPr>
        <w:spacing w:after="0" w:line="14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relative importance of each of these factors can vary depending on client type and the investment management service involved, as well as general market conditions. The ability to compete with other investment management firms also depends, in part, on the relative attractiveness of our Affiliates’ active, return-oriented strategies, market trends, fees or a combination of these factors.</w:t>
      </w:r>
    </w:p>
    <w:p>
      <w:pPr>
        <w:spacing w:after="0" w:line="23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compete with a number of acquirers of and investors in boutique investment management firms, including other investment management companies, private equity firms, sovereign wealth funds and larger financial organizations. We believe that the most important factors affecting our ability to compete for future investments are the:</w:t>
      </w:r>
    </w:p>
    <w:p>
      <w:pPr>
        <w:spacing w:after="0" w:line="10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depth of our relationships with boutique investment management firms;</w:t>
      </w:r>
    </w:p>
    <w:p>
      <w:pPr>
        <w:spacing w:after="0" w:line="225"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target firms’ view of our innovative partnership approach, including our succession planning solutions and the preservation of their unique entrepreneurial cultures, investment independence, and operational autonomy in managing their businesses;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price, liquidity, equity incentive structures and access to economies of scale that we offer (financially, operationally or otherwise) as compared to acquisition or investment arrangements offered by others;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performance of our Affiliates, by which target firms may judge us and our future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 These regulations are primarily intended to protect the clients of investment advisers and generally grant regulatory authorities broad administrative and enforcement powers.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may be subject to the Advisers Act and are also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funds in the U.S. and in other jurisdictions, and are subject to regulatory requirements in the jurisdictions where those funds are sponsored or offered, including, with respect to mutual funds in the U.S., the Investment Company Act of 1940, as amended (the “Investment Company Act”). The Investment Company Act governs the operations of mutual funds and imposes obligations on their advisers, including investment restrictions and other governance, compliance, reporting and fiduciary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obligations relating to the management of mutual funds. Many of our Affiliates are also subject to directives and regulations in the European Union and other jurisdictions relating to funds, such as the UCITS Directive and the Alternative Investment Fund Managers Directive (“AIFMD”), with respect to depositary functions, remuneration policies and sanctions, among other matters.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 Through our global distribution platform, we also engage in sales and marketing activities that extend the reach of our Affiliates’ own business development efforts, and which are subject to regulation in numerous jurisdictions. Our U.S. retail distribution subsidiary is registered with the SEC under the Advisers Act. This subsidiary sponsors mutual funds registered under the Investment Company Act, and serves as an investment adviser and/or administrator for the AMG Funds complex. In the UK, our global distribution subsidiary is regulated by the FCA. We also have global distribution subsidiaries or branches of subsidiaries regulated by the Dubai Financial Services Authority, the Securities and Futures Commission in Hong Kong, and the Australian Securities and Investments Commission.</w:t>
      </w:r>
    </w:p>
    <w:p>
      <w:pPr>
        <w:spacing w:after="0" w:line="1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of our Affiliates and our U.S. retail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(“DOL”) administers ERISA and regulates investment advisers who service retirement plan clients, and has been increasingly active in proposing and adopting additional regulations applicable to the asset management industry. Certain of our Affiliates and our U.S. retail distribution subsidiary are also members of the National Futures Association and are regulated by the U.S. Commodity Futures Trading Commission (“CFTC”) with respect to the management of funds and other products that utilize futures, swaps or other CFTC-regulated instruments.</w:t>
      </w:r>
    </w:p>
    <w:p>
      <w:pPr>
        <w:spacing w:after="0" w:line="1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addition, certain of our Affiliates and our U.S. retail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our global distribution subsidiaries may also be subject to other regulatory capital requirements imposed by non-U.S. regulatory authorities.</w:t>
      </w:r>
    </w:p>
    <w:p>
      <w:pPr>
        <w:spacing w:after="0" w:line="178"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Corporate Organization</w:t>
      </w:r>
    </w:p>
    <w:p>
      <w:pPr>
        <w:spacing w:after="0" w:line="14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December 31, 2019, we and our consolidated and equity method Affiliates had approximately 4,000 employees, excluding the employees of certain Affiliates in which we are repositioning our interests and that are not significant to our results of operations. The substantial majority of employees were employed full-time by our Affiliates. Neither we nor our Affiliates are subject to any collective bargaining agreements, and we believe that our and our Affiliates’ labor relations are good. We were formed in 1993 as a corporation under the laws of the State of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www.amg.com</w:t>
      </w:r>
      <w:r>
        <w:rPr>
          <w:rFonts w:ascii="Arial" w:cs="Arial" w:eastAsia="Arial" w:hAnsi="Arial"/>
          <w:sz w:val="17"/>
          <w:szCs w:val="17"/>
          <w:color w:val="auto"/>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furnishing of them to, the SEC. The information contained or incorporated on our website is not a part of this Annual Report on Form 10-K.</w:t>
      </w:r>
    </w:p>
    <w:p>
      <w:pPr>
        <w:spacing w:after="0" w:line="3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and our Affiliates face a variety of risks that are substantial and inherent in our businesses, including those related to markets, liquidity, credit, operational, legal and regulatory risks. The following are some of the more important factors that could affect our and our Affiliates’ businesses. Certain statements in “Risk Factors” are forward-looking statements. See “Forward-Looking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BUSINESS AND OPERATIONS</w:t>
      </w:r>
    </w:p>
    <w:p>
      <w:pPr>
        <w:spacing w:after="0" w:line="28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financial results depend on our Affiliates’ receipt of asset and performance based fees, and are impacted by investment performance, as well as changes in fee levels, product mix and the relative levels of assets under management among our Affiliates.</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financial results depend on our Affiliates’ receipt of asset and performance based fees, which may vary substantially from year to year. Our Affiliates’ ability to maintain current fee levels depends on a number of factors, including our Affiliates’ investment performance, as well as competition and trends in the asset management industry, including recent fee pressure, driven in part by investor demand for passively-managed products, including exchange traded funds, that typically carry lower fee rates. In addition, in the ordinary course of business, our Affiliates may reduce or waive fees on certain products for particular time periods, to attract or retain assets or for other reasons. Further, different types of assets under management can generate different ratios of asset based fees to assets under management (“asset 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 based fees include a high-watermark provision, which generally provides that if a product underperforms on an absolute basis or relative to its benchmark, it must regain such underperformance before the Affiliate will earn any performance based fees. No assurances can be given that our Affiliates will be able to maintain current fee structures or levels. A reduction in the fees that our Affiliates receive could have an adverse impact on our financial condition and results of operations.</w:t>
      </w:r>
    </w:p>
    <w:p>
      <w:pPr>
        <w:spacing w:after="0" w:line="24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Further, certain Affiliates contribute more significantly to our results than other Affiliates and, therefore, changes in fee levels, product mix, assets under management or investment performance of such Affiliates could have a disproportionate adverse impact on our financial condition and results of operations.</w:t>
      </w:r>
    </w:p>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financial results could be adversely affected by any reduction in our assets under management, which could reduce the asset and performance based fees earned by our Affiliates.</w:t>
      </w:r>
    </w:p>
    <w:p>
      <w:pPr>
        <w:spacing w:after="0" w:line="224"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financial results may be impacted by changes in the total level of our assets under management. The total level of our assets under management generally or with particular products or Affiliates could be adversely affected by conditions outside of our control, including:</w:t>
      </w:r>
    </w:p>
    <w:p>
      <w:pPr>
        <w:spacing w:after="0" w:line="201" w:lineRule="exact"/>
        <w:rPr>
          <w:sz w:val="20"/>
          <w:szCs w:val="20"/>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market value of our assets under management, due to declines in the capital markets, fluctuations in foreign currency exchange rates and interest rates, inflation rates or the yield curve, and other market factors;</w:t>
      </w:r>
    </w:p>
    <w:p>
      <w:pPr>
        <w:spacing w:after="0" w:line="224" w:lineRule="exact"/>
        <w:rPr>
          <w:rFonts w:ascii="Arial" w:cs="Arial" w:eastAsia="Arial" w:hAnsi="Arial"/>
          <w:sz w:val="18"/>
          <w:szCs w:val="18"/>
          <w:color w:val="auto"/>
        </w:rPr>
      </w:pPr>
    </w:p>
    <w:p>
      <w:pPr>
        <w:ind w:left="660" w:right="4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investor risk tolerance or investment preferences, such as the continued growth in passively-managed products, including exchange traded funds, which could result in investor allocations away from active, return-oriented strategies offered by our Affiliates;</w:t>
      </w:r>
    </w:p>
    <w:p>
      <w:pPr>
        <w:spacing w:after="0" w:line="200"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Affiliates’ ability to attract and retain client assets and market products and services, which may be impacted by investment performance, client relationships, trends in product and service offerings, and the prices of securities generally;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conditions, which may be exacerbated by changes in the equity or debt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crises, political or diplomatic developments, war, terrorism, pandemics or natural disasters;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that are difficult to predict.</w:t>
      </w:r>
    </w:p>
    <w:p>
      <w:pPr>
        <w:spacing w:after="0" w:line="2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reduction in our assets under management could adversely affect the fees payable to our Affiliates and, ultimately, our financial condition and results of operations.</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management industry is highly competitive.</w:t>
      </w:r>
    </w:p>
    <w:p>
      <w:pPr>
        <w:spacing w:after="0" w:line="144"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Our Affiliates compete with a broad range of domestic and foreign investment management firms, including public, private and client-owned investment advisers, firms managing passively-managed products, including exchange traded funds, as well as other firms managing active, return-oriented strategies,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offer an even broader array of products and services in particular investment strategies. Competition from these firms may reduce the fees that our Affiliates can obtain for investment management services, or could impair our Affiliates’ ability to attract and retain client assets. We believe that our Affiliates’ ability to compete effectively with other firms depends upon our Affiliates’ strategies, investment performance, reputations, client relationships, fee structures, client-servicing capabilities, and the marketing and distribution of their investment strategies, among other factors. See “Competition” in Item</w:t>
      </w:r>
    </w:p>
    <w:p>
      <w:pPr>
        <w:spacing w:after="0" w:line="1" w:lineRule="exact"/>
        <w:rPr>
          <w:sz w:val="20"/>
          <w:szCs w:val="20"/>
          <w:color w:val="auto"/>
        </w:rPr>
      </w:pPr>
    </w:p>
    <w:p>
      <w:pPr>
        <w:ind w:right="100" w:firstLine="8"/>
        <w:spacing w:after="0" w:line="261"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Affiliates may not compare favorably with their competitors in any or all of these categories. From time to time, our Affiliates may also compete with each other for clients.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or our Affiliates’ reputations are harmed, we could suffer losses in our business and financial results.</w:t>
      </w:r>
    </w:p>
    <w:p>
      <w:pPr>
        <w:spacing w:after="0" w:line="2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For example, alleged or actual failures by us, our Affiliates or our respective employees to comply with applicable laws, rules or regulations, errors in our public reports, perceptions of our or our Affiliates’ environmental, social and governance (“ESG”) practices, threatened or actual litigation against us, any of our Affiliates or our respective employees, cyber-attack or data breach incidents, or the public announcement and potential publicity surrounding any of these events, even if inaccurate, satisfactorily addressed, or if no violation or wrongdoing actually occurred, could adversely impact our or our Affiliates’ reputations and their relationships with clients, our relationships with our Affiliates, and our ability to negotiate agreements with new boutique investment management firms, any of which could have an adverse effect on our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contracts are subject to termination on short notice.</w:t>
      </w:r>
    </w:p>
    <w:p>
      <w:pPr>
        <w:spacing w:after="0" w:line="2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Through our Affiliates, we derive almost all of our asset and performance 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clients terminate their investment management contracts or withdraw a substantial amount of assets, it is likely to harm our results of operations. In addition, investment management contracts with mutual funds or other retail products are subject to annual approval by the fund’s board of directors.</w:t>
      </w:r>
    </w:p>
    <w:p>
      <w:pPr>
        <w:spacing w:after="0" w:line="2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and existing or future resources may not be available to us in sufficient amounts or on acceptable terms.</w:t>
      </w:r>
    </w:p>
    <w:p>
      <w:pPr>
        <w:spacing w:after="0" w:line="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While we believe that our existing cash resources and cash flow from operations will be sufficient to meet our working capital needs for normal operations for the foreseeable future, our continuing acquisitions of interests in boutique investment management firms and our other strategic initiatives may require additional capital. Further, we have significant repurchase obligations relating to Affiliate equity interests, and it is difficult to predict the frequency and magnitude of these repurchases. As of December 31, 2019, the current redemption value relating to Affiliate equity repurchase obligations was presented in Redeemable non-controlling interests on our Consolidated Balance Sheets and was $916.7 million, which includes $21.6 million of consolidated Affiliate sponsored investment products primarily attributable to third-party investors. See “Liquidity and Capital Resources-Affiliate Equity” in Item 7 and Notes 17 and 18 of the Consolidated Financial Statements. These obligations may require more cash than is then available from our existing cash resources and cash flows from operations. Thus, we may need to raise capital through additional borrowings or by selling shares of our common stock or other equity or debt securities, or otherwise refinance a portion of these obligations.</w:t>
      </w:r>
    </w:p>
    <w:p>
      <w:pPr>
        <w:spacing w:after="0" w:line="10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As of December 31, 2019, we had outstanding debt of $1.9 billion. Our level of indebtedness may increase if we fund future investments or other expenses through borrowings. Any additional indebtedness could increase our vulnerability to general adverse economic and industry conditions and may require us to dedicate a greater portion of our cash flows from operations to payments on our indebtedness.</w:t>
      </w:r>
    </w:p>
    <w:p>
      <w:pPr>
        <w:spacing w:after="0" w:line="22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spreads and our credit ratings. We are rated A3 by Moody’s Investors Service and BBB+ by S&amp;P Global Ratings. A reduction in our credit ratings could increase our borrowing costs under our credit facilities or, in certain cases, give rise to a termination right by the counterparty under our derivative financial instruments.</w:t>
      </w:r>
    </w:p>
    <w:p>
      <w:pPr>
        <w:spacing w:after="0" w:line="23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spacing w:after="0" w:line="20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debt agreements contain customary affirmative operating covenants and negative covenants that, among other things, place certain limitations on our and our subsidiaries’ ability to incur debt, merge or transfer assets, and create liens and, in the case of our credit facilities, require us to maintain specified financial ratios, including a maximum leverage ratio and a minimum interest coverage ratio. The breach of any covenant (either due to our actions or omissions or, in the case of financial covenants, due to a significant and prolonged market-driven decline in our operating results) could result in a default under the applicable debt agreement and, in the case of our credit facilities, lenders could refuse to make further extensions of credit to us. Further, in the event of certain defaults, amounts borrowed under our debt agreements, together with accrued interest and other fees, could become immediately due and payable. If any indebtedness were to become subject to accelerated repayment, we may not have sufficient liquid assets to repay such indebtedness in full.</w:t>
      </w:r>
    </w:p>
    <w:p>
      <w:pPr>
        <w:spacing w:after="0" w:line="2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financial condition and results of operations.</w:t>
      </w:r>
    </w:p>
    <w:p>
      <w:pPr>
        <w:spacing w:after="0" w:line="224"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As of December 31, 2019, our total assets were $7.7 billion, of which $3.8 billion were intangibles, and $2.2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declines in the value of assets under management, client attrition, product performance, and changes in strategic objectives or growth prospects of an Affiliate.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significant judgment. In recent periods, we have recorded expenses to reduce the carrying value to fair value of certain Affiliates and certain acquired client relationships, and may experience similar impairment events in future reporting periods. See “Critical Accounting Estimates and Judgments” in Item 7 and Notes 9 and 10 of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 activities may adversely affect our liquidity and results of operations.</w:t>
      </w:r>
    </w:p>
    <w:p>
      <w:pPr>
        <w:spacing w:after="0" w:line="27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From time to time, we and our Affiliates seek to offset exposure to changes in interest rates, foreign currency exchange rates and markets by entering into derivative financial instruments. See Note 6 of the Consolidated Financial Statements. The scope of these risk management activities is selective and varies based on the level and volatility of interest rates, foreign currency exchange rates and other changing market conditions. We and our Affiliates do not seek to hedge exposure to all market risks, which means that exposure to certain market risks is not limited. Further, the use of derivative financial instruments does not entirely eliminate the possibility of 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w:t>
      </w:r>
    </w:p>
    <w:p>
      <w:pPr>
        <w:spacing w:after="0" w:line="22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potential replacement or alteration of the London Interbank Offered Rate (“LIBOR”) or other widely used financial benchmarks introduces a number of risks for us, our Affiliates and their clients, and for the global asset management industry more broadly.</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LIBOR and other financial benchmarks are the subject of recent national, international and other regulatory guidance and proposals for reform. Currently, there is uncertainty regarding the future utilization of LIBOR, the nature of any replacement rate, and the timing of any definitive changes. These reforms may have consequences that cannot be predicted, including changes in the valuation of financial instruments linked to benchmark indices, which could impact Affiliate sponsored investment products, investments, derivatives or other instruments, and may result in pricing, operational and legal implementation risks. Further, the proposed reforms could result in an increase in our or our Affiliates’ debt service costs. While it is not currently possible to determine precisely how, or to what extent, the withdrawal and replacement of LIBOR would affect us and our Affiliates, the changes may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AND OUR STRUCTURED PARTNERSHIPS WITH AFFILIATES</w:t>
      </w:r>
    </w:p>
    <w:p>
      <w:pPr>
        <w:spacing w:after="0" w:line="2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upon our ability to make investments in boutique investment management firms and to pursue other strategic partnerships.</w:t>
      </w:r>
    </w:p>
    <w:p>
      <w:pPr>
        <w:spacing w:after="0" w:line="22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continued success in investing in boutique investment management firms will depend upon our ability to find suitable firms in which to invest or make additional investments in our existing Affiliates, our ability to negotiate agreements with such firms on acceptable terms, and our ability to raise the capital necessary to finance such transactions. The market for acquisitions of interests in these firms is highly competitive. Many other public and private financial services companies, including commercial and investment banks, private equity firms, sovereign wealth funds, insurance companies and investment management firms, also invest in boutique investment management firms and may have significantly greater resources than we do. In addition to direct competition on particular prospects, these firms can also negatively impact the volume and value of transactions more broadly. Further, our long-term innovative partnership approach with our Affiliates is designed to provide succession planning and enhanced equity incentives for management equity owners, and the management of some target firms may prefer terms and structures offered by our competitors.</w:t>
      </w:r>
    </w:p>
    <w:p>
      <w:pPr>
        <w:spacing w:after="0" w:line="23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success of our investments depends on our and our Affiliates’ ability to grow their businesses and carry out their management succession plans. In addition, our investments involve a number of risks, including the existence of unknown liabilities that may arise after making an investment, some of which may depend upon factors that are not under our control. We may not be successful in making investments in new firms or maintaining existing investments, and any firms that we do invest in may not have favorable results or performance following our investment, which could have an adverse effect on our financial condition and results of operations. Further, the consummation of our announced investments is generally subject to a number of closing conditions, contingencies and approvals, including, but not limited to, obtaining certain consents of the boutique investment management firm’s clients and applicable regulatory approvals. In the event that an announced transaction is not consummated, we may experience a decline in the price of our common stock.</w:t>
      </w:r>
    </w:p>
    <w:p>
      <w:pPr>
        <w:spacing w:after="0" w:line="2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growth strategy also includes pursuing strategic partnerships in areas where we can assist our Affiliates in growing and diversifying their businesses. These strategic partnerships may involve risks and require resources and investment, and there is no certainty that such partnerships will deliver the anticipated benefits over the expected time frame or at all.</w:t>
      </w: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structure of our partnership interests in our Affiliates may expose us to unanticipated changes in Affiliate revenue, operating expenses and other commitments, which we may not anticipate and may have limited ability to control.</w:t>
      </w:r>
    </w:p>
    <w:p>
      <w:pPr>
        <w:spacing w:after="0" w:line="224"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w:t>
      </w:r>
    </w:p>
    <w:p>
      <w:pPr>
        <w:spacing w:after="0" w:line="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w:t>
      </w:r>
    </w:p>
    <w:p>
      <w:pPr>
        <w:spacing w:after="0" w:line="9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w:t>
      </w:r>
    </w:p>
    <w:p>
      <w:pPr>
        <w:spacing w:after="0" w:line="24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Additionally, regardless of the particular structure, we may elect to defer or forgo the receipt of our share of an Affiliate’s revenue or earnings, or to adjust any expenses allocated to us, to permit the Affiliate to fund expenses in light of unanticipated changes in revenue or operating expenses, with the aim of maximizing the long-term benefits. We cannot be certain that any such deferral or forbearance would be of any greater long-term benefit to us, and such a deferral or forbearance may have an adverse effect on our near- or long-term financial condition and results of operations.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reposition or divest our equity interests in our Affiliates, and cannot be certain that any such repositioning or divestment will benefit us in the near- or long-term.</w:t>
      </w:r>
    </w:p>
    <w:p>
      <w:pPr>
        <w:spacing w:after="0" w:line="2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From time to time, we may reposition our relationships with our Affiliates, which could, among other things, include changes to our structured partnership interests, including changes in our ownership level and in the calculation of our share of revenue and/or operating expenses. Such repositioning may be done in order to address an Affiliate’s succession planning, changes in its revenue or operating expense base, strategic planning or other developments. Any repositioning of our interest in an Affiliate may result in increased exposure to changes in the Affiliate’s revenue and/or operating expenses, or in additional investments or commitments from us, or could increase or reduce our interest in the Affiliate. In some cases, this could result in the full divestment of our interest to Affiliate management or to a third party, or in our acquisition of all of the equity interests of the Affiliate. In addition, certain of our Affiliates accounted for under the equity method have customary rights in certain circumstances to sell a majority interest in their firm to a third party and to cause us to participate in such sale. Any such changes could have an adverse impact on our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depend on the efforts of our executive officers and our other officers and employees. Our executive officers, in particular, play an important role in the stability and growth of our existing Affiliates and in identifying potential investments in boutique investment management firms. There is no guarantee that these executive officers will remain with the Company. We generally do not have employment agreements with our executive officers, although each has a significant deferred equity interest in the Company and is subject to non-solicitation and non-competition restrictions that may be triggered upon their departure. Changes in our management team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spacing w:after="0" w:line="243"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personnel, there is no guarantee that these principals will remain with their firms. Since certain of our Affiliates contribute more significantly to our revenue than other Affiliates, the loss of key personnel at these Affiliates could have a disproportionately adverse impact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markets and our common stock have been volatile.</w:t>
      </w:r>
    </w:p>
    <w:p>
      <w:pPr>
        <w:spacing w:after="0" w:line="2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market price of our common stock has experienced and may continue to experience volatility, and the broader equity markets have experienced and may continue to experience significant price and volume fluctuations. In addition, announcements of our financial and operating results or other material information, including changes in net client cash flows and assets under management, changes in our financial guidance or our failure to meet such guidance, our new investments activity, changes in general conditions in the economy or the financial markets, perceptions regarding our ESG profile, and other developments affecting us, our Affiliates or our competitors, as well as geopolitical, regulatory, economic, and business factors unrelated to us, could cause the market price of our common stock to fluctuate substantially.</w:t>
      </w:r>
    </w:p>
    <w:p>
      <w:pPr>
        <w:spacing w:after="0" w:line="2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 or issuance of substantial amounts of our common stock, or the expectation that such sales or issuances will occur, could adversely impact the price of our common stock.</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sale or issuance of substantial amounts of our common stock in the public market could adversely impact its price. In connection with our financing activities, we have issued junior convertible trust preferred securities and entered into an equity distribution program, either of which may result in the issuance of our common stock upon the occurrence of certain events. We also have exercisable options outstanding and unvested restricted stock that have been awarded under our share-based incentive plans. Additionally, we have the right to settle certain Affiliate equity repurchase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Delaware law and other factors could delay or prevent a change in control of the Company, or adversely affect our financial results in periods prior to and following a change in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These provisions include:</w:t>
      </w:r>
    </w:p>
    <w:p>
      <w:pPr>
        <w:spacing w:after="0" w:line="100" w:lineRule="exact"/>
        <w:rPr>
          <w:sz w:val="20"/>
          <w:szCs w:val="20"/>
          <w:color w:val="auto"/>
        </w:rPr>
      </w:pPr>
    </w:p>
    <w:p>
      <w:pPr>
        <w:ind w:left="660" w:right="6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to determine the terms, rights and preferences of the preferred stock without stockholder approval;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prohibition on the right of stockholders to call meetings or act by written consent and limitations on the right of stockholders to present proposals or make nominations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restrictions on mergers and other business combinations between us and any holder of 15 percent or more of our outstanding common stock.</w:t>
      </w:r>
    </w:p>
    <w:p>
      <w:pPr>
        <w:spacing w:after="0" w:line="19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Further, given our long-term innovative partnership approach with our Affiliates, which is designed to maintain their unique entrepreneurial cultures, investment independence, and operational autonomy in managing their businesses, a change in control may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 party may apply to us in a change in control. Any of the forgoing factors may inhibit a change in control in circumstances that could give our stockholders the opportunity to realize a premium over the market price of our common stock, or may result in negative impacts on our financial results in periods prior to and following a change in control.</w:t>
      </w:r>
    </w:p>
    <w:p>
      <w:pPr>
        <w:spacing w:after="0" w:line="1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 change in control of the Company or the acquisition of a large ownership position in shares of our outstanding common stock by a single holder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any required client consents (which the impacted Affiliates would need to be involved in requesting) would be obtained if such a change of control occurs. Any termination, deemed assignment or renegotiation of any of our Affiliates’ management agreements could result in a reduction in our assets under management or the fees payable to our Affiliates and, ultimately, our aggregate fees. Further, certain of our Affiliates operate regulated businesses in jurisdictions outside of the U.S. that, in some cases, require regulatory notifications and other filings if a single stockholder acquires an ownership position in the Company exceeding certain specified thresholds, regardless of whether a change in control has occurred for purposes of the Advisers Act or the Investment Company Act. Such an ownership position could also trigger approvals under FINRA, for Affiliates operating a broker-dealer in the U.S. As a result, a large ownership position in our stock, whether or not resulting in a change of control of the Company, could result in increased regulatory reporting and compliance costs, and potential restrictions on our or our Affiliates’ business activities, and could reduce the fees that our Affiliates receive under investment management contracts, any of which could have an adverse effect on the Company’s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our Affiliates’ businesses are highly regulated.</w:t>
      </w:r>
    </w:p>
    <w:p>
      <w:pPr>
        <w:spacing w:after="0" w:line="27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and our Affiliates’ businesses are subject to complex and extensive regulation by regulatory and self-regulatory authorities and exchanges in various jurisdictions around the world, which, for our Affiliates and our U.S. retail distribution subsidiary, include those applicable to investment advisers, as detailed in “Government Regulation” in Item 1. Applicable laws, rules and regulations impose requirements, restrictions and limitations on our and our Affiliates’ businesses, and can result in significant compliance costs.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any of which could have an adverse impact on our stock price, financial condition and results of operations. Further, if we, any of our Affiliates or our respective employees were to fail to comply with applicable laws, rules or regulations or be named as a subject of an investigation or other regulatory action, the public announcement and potential publicity surrounding any such investigation or action could have an adverse effect on our stock price and result in increased costs, even if we, our Affiliates or our respective employees were found not to have violated such laws, rules or regulations.</w:t>
      </w:r>
    </w:p>
    <w:p>
      <w:pPr>
        <w:spacing w:after="0" w:line="23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Recently implemented and proposed regulations globally have called for more stringent oversight of the financial services industry in which we and our Affiliates operate, which could adversely affect our and our Affiliates’ businesses, increase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compliance costs, require that we or our Affiliates curtail operations or investment offerings, or impact our and our Affiliates’ access to capital and the market for our common stock. In the U.S., the regulation of derivatives markets has undergone substantial change in recent years and such change may continue, which may make derivatives more costly, may limit the availability or reduce the liquidity of derivatives, and may impose limits or restrictions on the counterparties to derivative transactions. The European Union and other jurisdictions have implemented, or are in the process of implementing, similar requirements.</w:t>
      </w:r>
    </w:p>
    <w:p>
      <w:pPr>
        <w:spacing w:after="0" w:line="242"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Further, in recent years, regulators in the U.S., the UK and other jurisdictions have expanded rules and devoted greater resources and attention to the enforcement of anti-bribery and anti-money laundering laws, and while we and our Affiliates have developed and implemented policies and procedures designed to comply with these rules, such policies and procedures may not be effective in all instances to prevent violations.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and our Affiliates’ international operations are subject to foreign risks, including political, regulatory, economic and currency risks.</w:t>
      </w:r>
    </w:p>
    <w:p>
      <w:pPr>
        <w:spacing w:after="0" w:line="15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and certain of our Affiliates conduct business outside the U.S., and a number of our Affiliates are based outside the U.S. and, accordingly, are subject to risks inherent in doing business internationally. These risks may include difficulties in staffing and managing foreign operations, longer payment cycles, difficulties in collecting investment advisory fees receivable, different (and in some cases less stringent) legal, regulatory and accounting regimes, political instability, exposure to fluctuations in currency exchange rates, expatriation controls, expropriation risks and potential adverse tax consequences. For example, our and our Affiliates’ businesses may be impacted by the terms of the UK’s exit from the European Union, which could result in fluctuations in exchange rates, disruptions in the capital markets, changes in investor risk tolerance or investment preferences, increased compliance and administrative costs, or other impacts. Further, regulatory and other developments relating to the UK’s exit from the European Union could impact our or our Affiliates’ ability to conduct operations pursuant to a European passport and could require us or certain of our Affiliates to apply for regulatory authorization and permission in a separate European Union member state. As part of our and certain of our Affiliates’ planning for the UK’s exit from the European Union, we and such Affiliates have implemented a number of steps to prepare for the various potential outcomes and, while we do not expect the UK’s exit from the European Union to have a significant impact on the way we or our Affiliates operate, these plans and developments could result in increases to our and such Affiliates’ compliance and administrative costs. In addition, as a result of operating internationally, certain of our Affiliates and our global distribution subsidiaries are subject to requirements under foreign regulations to maintain minimum levels of capital, and such capital requirements may be increased from time to time, which may have the effect of limiting withdrawals of capital and the payment of distributions to us. These or other risks related to our and our Affiliates’ international operations may have an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or exposure to additional tax liabilities could have an adverse impact on our business, financial condition and results of operations.</w:t>
      </w:r>
    </w:p>
    <w:p>
      <w:pPr>
        <w:spacing w:after="0" w:line="31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income taxes as well as non-income-based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with differing statutory tax rates, changes to our or their existing businesses, and changes in relevant tax, accounting or other laws, regulations, administrative practices and interpretations. A portion of our earnings are from outside of the U.S., and the foreign government agencies in jurisdictions in which we and our Affiliates do business continue to focus on the taxation of multinational companies, and could implement changes to their tax laws. For example, changes in the tax laws of foreign jurisdictions could arise as a result of the base erosion and profit shifting (“BEPS”) project undertaken by the Organization for Economic Co-operation and Development (“OECD”), which includes recommendations that may be adopted in various jurisdictions in which we and our Affiliates do business. Any changes to federal, state or foreign tax laws, regulations, accounting standards or administrative practices, or the release of additional guidance, interpretations or other information,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8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 additional taxes and/or penalties and interest. There can be no assurance that we will accurately predict the outcomes of any examinations and the actual outcomes could have an adverse impact on our financial condition and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or our Affiliates may be involved in legal proceedings and regulatory matters from time to time, and we may be held responsible for liabilities incurred by certain of our Affiliates.</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operating agreements with our Affiliates provide for governance structures that give Affiliate management the authority to manage and operate their businesses on a day-to-day basis, including investment management operations, marketing, product development, client relationships, employee matters, compensation programs and compliance activities. As a consequence, our financial condition and results of operations may be adversely affected by problems stemming from the day-to-day operations of our Affiliates that we are not involved in, and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spacing w:after="0" w:line="2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Certain of our Affiliates are limited liability companies or limited partnerships (or equivalent non-U.S. forms) of which we, or entities controlled by us, are the managing member or general partner (or equivalent).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retail distribution subsidiary and our global distribution subsidiaries, to extend the reach of our Affiliates’ own business development efforts, and any liability arising in connection with these activities, whether as a result of our own actions or the actions of our participating Affiliates,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See “Legal Proceedings” in Item 3.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Any legal proceedings or regulatory matters that we or our Affiliates are subject to could, whether with or without merit, be time consuming and expensive to defend and could divert management attention and resources, and could result in judgments, findings, settlements or allegations of wrongdoing that could adversely affect our or their reputation, current and future business relationships, and our financial condition and results of operations.</w:t>
      </w:r>
    </w:p>
    <w:p>
      <w:pPr>
        <w:spacing w:after="0" w:line="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or our Affiliates’ controls and procedures and risk management policies may be inadequate, fail or be circumvented, and operational risk could adversely affect our or our Affiliates’ reputation and financial position.</w:t>
      </w:r>
    </w:p>
    <w:p>
      <w:pPr>
        <w:spacing w:after="0" w:line="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third-party service providers, such third parties are subject to similar risks. We and our Affiliates, as well as our respective service providers, are also subject to the risk that employees or contractors, or other third parties, may deliberately seek to circumvent established controls to commit fraud or act in ways that are inconsistent with our or their controls, policies and procedures. The financial and reputational impact of control failures can be significant.</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22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Affiliates rely on third parties for certain aspects of our respective businesses, including financial intermediaries, providers of technology infrastructure, and other service providers such as broker-dealers, custodians, administrators and other agents, and these parties are susceptible to similar risks.</w:t>
      </w:r>
    </w:p>
    <w:p>
      <w:pPr>
        <w:spacing w:after="0" w:line="17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Although we and our Affiliates take protective measures and endeavor to modify them as circumstances warrant, computer systems, software, networks and mobile devices may be vulnerable to cyber-attacks, data privacy or security breaches, ransomware, unauthorized access, theft, misuse, computer viruses or other malicious code and other events that could have a security impact. Further, although we and our Affiliates have systems and practices in place to monitor the third parties on whom we and our Affiliates rely, such third parties may have similar vulnerabilities and may lack the necessary 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may be subject to litigation, regulatory investigations and potential fines, and financial losses that are either not insured against fully or not fully covered through any insurance that we or our Affiliates maintain. Further, government and regulatory oversight of data privacy in particular has been growing in recent years, including through the European Union’s General Data Protection Regulation and the California Consumer Privacy Act, resulting in heightened data security and handling requirements, increased fines, and expanded incident response and reporting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conduct our operations around the world using a combination of leased and owned facilities. While we believe we have suitable property resources currently, we will continue to evaluate our property needs and will adjust these resources as necessary. Our Affiliates also typically lease office space in the city or cities in which they conduct business, as appropriate for their respective business needs.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spacing w:after="0" w:line="22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81"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Our common stock is traded on the New York Stock Exchange (symbol: AMG). As of February 25, 2020, there were 14 stockholders of record</w:t>
      </w:r>
      <w:r>
        <w:rPr>
          <w:rFonts w:ascii="Arial" w:cs="Arial" w:eastAsia="Arial" w:hAnsi="Arial"/>
          <w:sz w:val="19"/>
          <w:szCs w:val="19"/>
          <w:color w:val="auto"/>
        </w:rPr>
        <w:t>,</w:t>
      </w:r>
      <w:r>
        <w:rPr>
          <w:rFonts w:ascii="Arial" w:cs="Arial" w:eastAsia="Arial" w:hAnsi="Arial"/>
          <w:sz w:val="18"/>
          <w:szCs w:val="18"/>
          <w:color w:val="auto"/>
        </w:rPr>
        <w:t xml:space="preserve"> including banks, brokers and other financial institutions holding shares in omnibus accounts for their customers (in total representing substantially all of the beneficial holders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Average Price Paid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Outstanding Plans or</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Shares Purchased</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2019</w:t>
            </w:r>
            <w:r>
              <w:rPr>
                <w:rFonts w:ascii="Arial" w:cs="Arial" w:eastAsia="Arial" w:hAnsi="Arial"/>
                <w:sz w:val="18"/>
                <w:szCs w:val="18"/>
                <w:color w:val="auto"/>
                <w:vertAlign w:val="superscript"/>
              </w:rPr>
              <w:t>(3)</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190,186</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190,186</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8,137,909</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November 1-30, 2019</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575,789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575,789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7,562,120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663,147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663,147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6,898,973</w:t>
            </w:r>
          </w:p>
        </w:tc>
        <w:tc>
          <w:tcPr>
            <w:tcW w:w="0" w:type="dxa"/>
            <w:vAlign w:val="bottom"/>
          </w:tcPr>
          <w:p>
            <w:pPr>
              <w:spacing w:after="0"/>
              <w:rPr>
                <w:sz w:val="1"/>
                <w:szCs w:val="1"/>
                <w:color w:val="auto"/>
              </w:rPr>
            </w:pPr>
          </w:p>
        </w:tc>
      </w:tr>
      <w:tr>
        <w:trPr>
          <w:trHeight w:val="257"/>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1,429,122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1,429,122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340" w:right="340" w:hanging="332"/>
        <w:spacing w:after="0" w:line="27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8"/>
          <w:szCs w:val="18"/>
          <w:color w:val="auto"/>
        </w:rPr>
        <w:t>Includes shares surrendered, if any, to the Company to satisfy tax withholding and/or option exercise price obligations in connection with stock swap option exercise transactions.</w:t>
      </w:r>
    </w:p>
    <w:p>
      <w:pPr>
        <w:spacing w:after="0" w:line="224" w:lineRule="exact"/>
        <w:rPr>
          <w:rFonts w:ascii="Arial" w:cs="Arial" w:eastAsia="Arial" w:hAnsi="Arial"/>
          <w:sz w:val="18"/>
          <w:szCs w:val="18"/>
          <w:color w:val="auto"/>
          <w:vertAlign w:val="superscript"/>
        </w:rPr>
      </w:pPr>
    </w:p>
    <w:p>
      <w:pPr>
        <w:ind w:left="340" w:hanging="332"/>
        <w:spacing w:after="0" w:line="297" w:lineRule="auto"/>
        <w:tabs>
          <w:tab w:leader="none" w:pos="340" w:val="left"/>
        </w:tabs>
        <w:numPr>
          <w:ilvl w:val="0"/>
          <w:numId w:val="8"/>
        </w:numPr>
        <w:rPr>
          <w:rFonts w:ascii="Arial" w:cs="Arial" w:eastAsia="Arial" w:hAnsi="Arial"/>
          <w:sz w:val="16"/>
          <w:szCs w:val="16"/>
          <w:color w:val="auto"/>
          <w:vertAlign w:val="superscript"/>
        </w:rPr>
      </w:pPr>
      <w:r>
        <w:rPr>
          <w:rFonts w:ascii="Arial" w:cs="Arial" w:eastAsia="Arial" w:hAnsi="Arial"/>
          <w:sz w:val="16"/>
          <w:szCs w:val="16"/>
          <w:color w:val="auto"/>
        </w:rPr>
        <w:t>Our Board of Directors authorized share repurchase programs in October 2019, January 2019 and January 2018, authorizing us to repurchase up to 6.0 million, 3.3 million and 3.4 million shares of our common stock, respectively, and these authorizations have no expiry. Purchases may be made from time to time, at management’s discretion, in the open market or in privately negotiated transactions, including through the use of derivative financial instruments and accelerated share repurchase programs. As of December 31, 2019, there were a total of 6.9 million shares available for repurchase under our October 2019 and January 2019 share repurchase programs and no shares remained under the January 2018 program.</w:t>
      </w:r>
    </w:p>
    <w:p>
      <w:pPr>
        <w:spacing w:after="0" w:line="212" w:lineRule="exact"/>
        <w:rPr>
          <w:rFonts w:ascii="Arial" w:cs="Arial" w:eastAsia="Arial" w:hAnsi="Arial"/>
          <w:sz w:val="16"/>
          <w:szCs w:val="16"/>
          <w:color w:val="auto"/>
          <w:vertAlign w:val="superscript"/>
        </w:rPr>
      </w:pPr>
    </w:p>
    <w:p>
      <w:pPr>
        <w:ind w:left="340" w:right="180" w:hanging="332"/>
        <w:spacing w:after="0" w:line="342" w:lineRule="auto"/>
        <w:tabs>
          <w:tab w:leader="none" w:pos="340" w:val="left"/>
        </w:tabs>
        <w:numPr>
          <w:ilvl w:val="0"/>
          <w:numId w:val="8"/>
        </w:numPr>
        <w:rPr>
          <w:rFonts w:ascii="Arial" w:cs="Arial" w:eastAsia="Arial" w:hAnsi="Arial"/>
          <w:sz w:val="16"/>
          <w:szCs w:val="16"/>
          <w:color w:val="auto"/>
          <w:vertAlign w:val="superscript"/>
        </w:rPr>
      </w:pPr>
      <w:r>
        <w:rPr>
          <w:rFonts w:ascii="Arial" w:cs="Arial" w:eastAsia="Arial" w:hAnsi="Arial"/>
          <w:sz w:val="16"/>
          <w:szCs w:val="16"/>
          <w:color w:val="auto"/>
        </w:rPr>
        <w:t>Includes 0.1 million shares delivered upon the completion of a $30.0 million accelerated share repurchase program entered into in September 2019 and completed in October 2019, under which we repurchased a total of 0.4 million shares of our common stock at an average price of $76.06 per share.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peer group is comprised of AllianceBernstein Holding L.P., Ameriprise Financial, Inc., Ares Management Corporation, Eaton Vance Corp., Franklin Resources, Inc., Invesco Ltd., Janus Henderson Group plc, Lazard Ltd., Legg Mason, Inc. and T. Rowe Price Group, Inc. Prior to this year, our peer group included BlackRock, Inc. and did not include Ares Management Corporation or Janus Henderson Group plc. Our peer group was revised in the fourth quarter of 2019 to reflect companies with size and market capitalizations that are more in line with our own, and to include additional firms with significant assets under management in alternative strategies. The following graph compares the cumulative stockholder return on our common stock from December 31, 2014 through December 31, 2019, with the cumulative total return, during the same period, on the Standard &amp; Poor’s 500 Index, the Standard &amp; Poor’s MidCap 400 Index, our prior peer group, and our current peer group. The comparison below assumes the investment of $100 on December 31, 2014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156845</wp:posOffset>
            </wp:positionV>
            <wp:extent cx="4991100" cy="3884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110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following table presents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as noted and per share data)</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Performance Measures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611.3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722.5</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Aggregate fees</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4,140.1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4,296.3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5,545.8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5,442.4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4,962.7</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Performance Measures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2,484.5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2,194.6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2,305.0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2,378.4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2,239.6</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62"/>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Supplemental Financial Performance Measures</w:t>
            </w:r>
            <w:r>
              <w:rPr>
                <w:rFonts w:ascii="Arial" w:cs="Arial" w:eastAsia="Arial" w:hAnsi="Arial"/>
                <w:sz w:val="18"/>
                <w:szCs w:val="18"/>
                <w:b w:val="1"/>
                <w:bCs w:val="1"/>
                <w:color w:val="auto"/>
                <w:vertAlign w:val="superscript"/>
              </w:rPr>
              <w:t>(1)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(controlling 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1,116.2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Economic net income (controlling interest)</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720.2</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7,769.4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8,749.1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8,702.1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8,219.1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7,653.5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1,879.4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2,109.6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1,854.7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1,829.6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1,793.8</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3,769.1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4,426.5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4,578.5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4,134.9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3,499.1</w:t>
            </w:r>
          </w:p>
        </w:tc>
      </w:tr>
      <w:tr>
        <w:trPr>
          <w:trHeight w:val="218"/>
        </w:trPr>
        <w:tc>
          <w:tcPr>
            <w:tcW w:w="640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46" w:lineRule="exact"/>
        <w:rPr>
          <w:sz w:val="20"/>
          <w:szCs w:val="20"/>
          <w:color w:val="auto"/>
        </w:rPr>
      </w:pPr>
    </w:p>
    <w:p>
      <w:pPr>
        <w:ind w:left="340" w:right="500" w:hanging="332"/>
        <w:spacing w:after="0" w:line="277"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8"/>
          <w:szCs w:val="18"/>
          <w:color w:val="auto"/>
        </w:rPr>
        <w:t>Adjusted EBITDA (controlling interest), Economic net income (controlling interest) and Economic earnings per share are non-GAAP performance measures and are discussed in “Supplemental Financial Performance Measures”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following executive overview, which summarizes the significant trends affecting our results of operations and financial condition, as well as the remainder of this Management’s Discussion and Analysis of Financial Condition and Results of Operations of Affiliated Managers Group, Inc. and its subsidiaries, should be read in conjunction with the “Forward-Looking Statements” section set forth in Part I and the “Risk Factors” section set forth in Item 1A of Part I of this Annual Report on Form 10-K and in any more recent filings with the SEC, and with our Consolidated Financial Statements and the notes thereto contained elsewhere in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a global asset management company with equity investments in high-quality boutique investment management firms, which we call our “Affiliates.” Our strategy is to generate long-term value by investing in leading independent active investment managers, through a proven partnership approach, and allocating resources across our unique opportunity set to the areas of highest growth and return. Through our innovative partnership approach, each Affiliate’s management team retains significant equity ownership in their firm while maintaining operational autonomy. In addition, we offer centralized capabilities to our Affiliates across a variety of areas, including strategy, marketing and distribution, and product development. As of December 31, 2019, our aggregate assets under management were approximately $726 billion, pro forma for a new Affiliate investment which has since been completed, across a broad range of active, return-oriented strategies.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and Pending Investments</w:t>
      </w:r>
    </w:p>
    <w:p>
      <w:pPr>
        <w:spacing w:after="0" w:line="14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On July 5, 2019, we completed our investment in Garda Capital Partners LP (“Garda”), an alternative investment manager specializing in fixed income relative value strategies. We account for our investment in Garda under the equity method of accounting. Following the close of this transaction, Affiliate management continues to hold a significant portion of the equity in their business and directs the day-to-day operations.</w:t>
      </w:r>
    </w:p>
    <w:p>
      <w:pPr>
        <w:spacing w:after="0" w:line="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18, 2020, we announced the completion of our investment in Comvest Partners (“Comvest”), a leading middle-market private equity and credit investment firm. We will account for our investment in Comvest under the equity method of accounting. The financial results of this investment will be included in the Company’s Consolidated Financial Statements one quarter in arrears. Following the close of this transaction, Affiliate management continues to hold a significant portion of the equity in their business and directs the day-to-day-operations.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Measures</w:t>
      </w:r>
    </w:p>
    <w:p>
      <w:pPr>
        <w:spacing w:after="0" w:line="28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boutique investment managers and are impacted by similar marketplace factors and industry trends. Therefore, our key aggregate operating performance measures are important in providing management with a more comprehensive view of the operating performance and material trends across our entire business.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aggregate operating performance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billions, except as noted)</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  $</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assets under management</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758.1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fees (in millions)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5,545.8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5,442.4</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4,962.7</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Assets under management and, therefore average assets under management, include the assets under management of our consolidated and equity method Affiliates, and as of October 1, 2019, exclude the assets under management of certain Affiliates in which we are repositioning our interests and that are not significant to our results of operations.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Average assets under management for mutual funds and similar retail investment products represents an average of the daily net assets under management, while for institutional and high net worth clients, average assets under management represents an average of the assets at the beginning or end of each month during the applicable period.</w:t>
      </w:r>
    </w:p>
    <w:p>
      <w:pPr>
        <w:spacing w:after="0" w:line="23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Aggregate fees consists of the total asset and performance based fees earned by all of our consolidated and equity method Affiliates, and includes the aggregate fees of certain Affiliates in which we are repositioning our interests and that are not significant to our aggregate fees or our results of operations. For certain of our Affiliates accounted for under the equity method, we report aggregate fees and the Affiliate’s financial results in our Consolidated Financial Statements one quarter in arrears. Aggregate fees is provided in addition to, but not as a substitute for, Consolidated revenue or other GAAP performance measures.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w:t>
      </w:r>
    </w:p>
    <w:p>
      <w:pPr>
        <w:spacing w:after="0" w:line="14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active, return-oriented strategies designed to assist institutional, retail and high net worth clients worldwide in achieving their investment objectives. We continue to see demand for active, return-oriented strategies, particularly in illiquid alternative and multi-asset and fixed income strategies, reflecting continued investor demand for returns that are less correlated to traditional equity markets, while we are experiencing outflows in global equities and in quantitative strategies across liquid alternatives. In addition, investor demand for passively-managed products, including exchange traded funds has continued, and we have experienced outflows in certain equity strategies, consistent with this industry-wide trend. We believe the best-performing active equity managers (whether global-, regional-, or country-specific) will continue to have significant opportunities to grow as a result of net client cash inflows. We believe we are well-positioned to benefit from these trends.</w:t>
      </w:r>
    </w:p>
    <w:p>
      <w:pPr>
        <w:spacing w:after="0" w:line="8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charts present information regarding the composition of our assets under management by active, return-oriented strategy as of December 31, 2018 and 2019:</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Assets Under Management by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48895</wp:posOffset>
            </wp:positionV>
            <wp:extent cx="5625465" cy="1800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546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81" w:lineRule="exact"/>
        <w:rPr>
          <w:sz w:val="20"/>
          <w:szCs w:val="20"/>
          <w:color w:val="auto"/>
        </w:rPr>
      </w:pPr>
    </w:p>
    <w:p>
      <w:pPr>
        <w:ind w:left="340" w:right="360" w:hanging="332"/>
        <w:spacing w:after="0" w:line="277" w:lineRule="auto"/>
        <w:tabs>
          <w:tab w:leader="none" w:pos="340" w:val="left"/>
        </w:tabs>
        <w:numPr>
          <w:ilvl w:val="0"/>
          <w:numId w:val="10"/>
        </w:numPr>
        <w:rPr>
          <w:rFonts w:ascii="Arial" w:cs="Arial" w:eastAsia="Arial" w:hAnsi="Arial"/>
          <w:sz w:val="18"/>
          <w:szCs w:val="18"/>
          <w:color w:val="auto"/>
          <w:vertAlign w:val="superscript"/>
        </w:rPr>
      </w:pPr>
      <w:r>
        <w:rPr>
          <w:rFonts w:ascii="Arial" w:cs="Arial" w:eastAsia="Arial" w:hAnsi="Arial"/>
          <w:sz w:val="18"/>
          <w:szCs w:val="18"/>
          <w:color w:val="auto"/>
        </w:rPr>
        <w:t>Alternatives include illiquid alternative strategies, which accounted for 12% and 13% of our assets under management as of December 31, 2018 and 2019, respectively.</w:t>
      </w:r>
    </w:p>
    <w:p>
      <w:pPr>
        <w:spacing w:after="0" w:line="170" w:lineRule="exact"/>
        <w:rPr>
          <w:rFonts w:ascii="Arial" w:cs="Arial" w:eastAsia="Arial" w:hAnsi="Arial"/>
          <w:sz w:val="18"/>
          <w:szCs w:val="18"/>
          <w:color w:val="auto"/>
          <w:vertAlign w:val="superscript"/>
        </w:rPr>
      </w:pPr>
    </w:p>
    <w:p>
      <w:pPr>
        <w:ind w:left="340" w:right="360" w:hanging="332"/>
        <w:spacing w:after="0" w:line="277" w:lineRule="auto"/>
        <w:tabs>
          <w:tab w:leader="none" w:pos="340" w:val="left"/>
        </w:tabs>
        <w:numPr>
          <w:ilvl w:val="0"/>
          <w:numId w:val="10"/>
        </w:numPr>
        <w:rPr>
          <w:rFonts w:ascii="Arial" w:cs="Arial" w:eastAsia="Arial" w:hAnsi="Arial"/>
          <w:sz w:val="18"/>
          <w:szCs w:val="18"/>
          <w:color w:val="auto"/>
          <w:vertAlign w:val="superscript"/>
        </w:rPr>
      </w:pPr>
      <w:r>
        <w:rPr>
          <w:rFonts w:ascii="Arial" w:cs="Arial" w:eastAsia="Arial" w:hAnsi="Arial"/>
          <w:sz w:val="18"/>
          <w:szCs w:val="18"/>
          <w:color w:val="auto"/>
        </w:rPr>
        <w:t>Global equities include emerging markets strategies, which accounted for 8% and 9% of our assets under management as of December 31, 2018 and 2019,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active, return-oriented strategy: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Alternatives</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U.S. Equities</w:t>
            </w: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Multi-Asset &amp;</w:t>
            </w:r>
          </w:p>
        </w:tc>
        <w:tc>
          <w:tcPr>
            <w:tcW w:w="240" w:type="dxa"/>
            <w:vAlign w:val="bottom"/>
          </w:tcPr>
          <w:p>
            <w:pPr>
              <w:spacing w:after="0"/>
              <w:rPr>
                <w:sz w:val="14"/>
                <w:szCs w:val="14"/>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00" w:type="dxa"/>
            <w:vAlign w:val="bottom"/>
          </w:tcPr>
          <w:p>
            <w:pPr>
              <w:ind w:left="40"/>
              <w:spacing w:after="0"/>
              <w:rPr>
                <w:sz w:val="20"/>
                <w:szCs w:val="20"/>
                <w:color w:val="auto"/>
              </w:rPr>
            </w:pPr>
            <w:r>
              <w:rPr>
                <w:rFonts w:ascii="Arial" w:cs="Arial" w:eastAsia="Arial" w:hAnsi="Arial"/>
                <w:sz w:val="14"/>
                <w:szCs w:val="14"/>
                <w:i w:val="1"/>
                <w:iCs w:val="1"/>
                <w:color w:val="auto"/>
              </w:rPr>
              <w:t>(in billions)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Income</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Client cash inflows and commitments</w:t>
            </w:r>
          </w:p>
        </w:tc>
        <w:tc>
          <w:tcPr>
            <w:tcW w:w="1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cash outflows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7"/>
        </w:trPr>
        <w:tc>
          <w:tcPr>
            <w:tcW w:w="5600" w:type="dxa"/>
            <w:vAlign w:val="bottom"/>
          </w:tcPr>
          <w:p>
            <w:pPr>
              <w:ind w:left="400"/>
              <w:spacing w:after="0"/>
              <w:rPr>
                <w:sz w:val="20"/>
                <w:szCs w:val="20"/>
                <w:color w:val="auto"/>
              </w:rPr>
            </w:pPr>
            <w:r>
              <w:rPr>
                <w:rFonts w:ascii="Arial" w:cs="Arial" w:eastAsia="Arial" w:hAnsi="Arial"/>
                <w:sz w:val="18"/>
                <w:szCs w:val="18"/>
                <w:color w:val="auto"/>
              </w:rPr>
              <w:t>Net client cash flows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Market changes</w:t>
            </w:r>
          </w:p>
        </w:tc>
        <w:tc>
          <w:tcPr>
            <w:tcW w:w="1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Realizations and distributions (net)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repositioning</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70" w:lineRule="exact"/>
        <w:rPr>
          <w:rFonts w:ascii="Arial" w:cs="Arial" w:eastAsia="Arial" w:hAnsi="Arial"/>
          <w:sz w:val="18"/>
          <w:szCs w:val="18"/>
          <w:color w:val="auto"/>
          <w:vertAlign w:val="superscript"/>
        </w:rPr>
      </w:pPr>
    </w:p>
    <w:p>
      <w:pPr>
        <w:ind w:left="340" w:right="160" w:hanging="332"/>
        <w:spacing w:after="0" w:line="277"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8"/>
          <w:szCs w:val="18"/>
          <w:color w:val="auto"/>
        </w:rPr>
        <w:t>Strategic repositioning includes assets under management attributable to Affiliates that are not significant to our results of operations, or those in which we have divested of our interest.</w:t>
      </w:r>
    </w:p>
    <w:p>
      <w:pPr>
        <w:spacing w:after="0" w:line="116"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8"/>
          <w:szCs w:val="18"/>
          <w:color w:val="auto"/>
        </w:rPr>
        <w:t>Other includes assets under management attributable to product transitions and reclassifications.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following charts present information regarding the composition of our assets under management by client type as of December 31, 2018 and 2019: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Assets Under Management by Client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085715" cy="1732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57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client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ind w:left="4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Institutional</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Retail</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High Net Worth</w:t>
            </w: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7"/>
        </w:trPr>
        <w:tc>
          <w:tcPr>
            <w:tcW w:w="6520" w:type="dxa"/>
            <w:vAlign w:val="bottom"/>
          </w:tcPr>
          <w:p>
            <w:pPr>
              <w:ind w:left="40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 changes</w:t>
            </w: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repositioning</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40" w:right="200" w:hanging="332"/>
        <w:spacing w:after="0" w:line="277"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70" w:lineRule="exact"/>
        <w:rPr>
          <w:rFonts w:ascii="Arial" w:cs="Arial" w:eastAsia="Arial" w:hAnsi="Arial"/>
          <w:sz w:val="18"/>
          <w:szCs w:val="18"/>
          <w:color w:val="auto"/>
          <w:vertAlign w:val="superscript"/>
        </w:rPr>
      </w:pPr>
    </w:p>
    <w:p>
      <w:pPr>
        <w:ind w:left="340" w:right="180" w:hanging="332"/>
        <w:spacing w:after="0" w:line="277"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8"/>
          <w:szCs w:val="18"/>
          <w:color w:val="auto"/>
        </w:rPr>
        <w:t>Strategic repositioning includes assets under management attributable to Affiliates that are not significant to our results of operations, or those in which we have divested of our interest.</w:t>
      </w:r>
    </w:p>
    <w:p>
      <w:pPr>
        <w:spacing w:after="0" w:line="17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8"/>
          <w:szCs w:val="18"/>
          <w:color w:val="auto"/>
        </w:rPr>
        <w:t>Other includes assets under management attributable to product transitions and 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 Fees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Aggregate fees consists of asset and performance based fees. Asset based fees include advisory and other fees earned by our Affiliates for services provided to their clients and are typically determined as a percentage of the value of a client’s assets under management. Performance based fees are based on investment performance, typically on an absolute basis or relative to a benchmark, and are recognized when they are earned (i.e., when they become billable to customers and are not subject to claw-back). Performance based fees are generally billed less frequently than asset based fees, and although performance based fees inherently depend on investment performance and will vary from period to period, we anticipate performance based fees will be a recurring component of our aggregate fees.</w:t>
      </w:r>
    </w:p>
    <w:p>
      <w:pPr>
        <w:spacing w:after="0" w:line="193"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Aggregate fees is generally determined by the level of our average assets under management, the composition of these assets across our active, return-oriented strategies that realize different asset based fee ratios, and performance based fees. Our asset based fee ratio is calculated as asset based fees divided by average assets under management.</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Aggregate fees was $4,962.7 million in 2019, a decrease of $479.7 million or 9% as compared to 2018. The decrease in aggregate fees was primarily due to a $486.2 million decrease in asset based fees. The decrease in asset based fees was due to an 8% decrease in our average assets under management, primarily in alternative strategies and global equities strategies, and a 2% decline in our asset based fee ratio, principally due to a change in the composition of our assets under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Supplemental Financial Performance Measures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key financial and supplemental financial performance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  $</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2"/>
        </w:trPr>
        <w:tc>
          <w:tcPr>
            <w:tcW w:w="5640" w:type="dxa"/>
            <w:vAlign w:val="bottom"/>
          </w:tcPr>
          <w:p>
            <w:pPr>
              <w:ind w:left="40"/>
              <w:spacing w:after="0"/>
              <w:rPr>
                <w:sz w:val="20"/>
                <w:szCs w:val="20"/>
                <w:color w:val="auto"/>
              </w:rPr>
            </w:pPr>
            <w:r>
              <w:rPr>
                <w:rFonts w:ascii="Arial" w:cs="Arial" w:eastAsia="Arial" w:hAnsi="Arial"/>
                <w:sz w:val="18"/>
                <w:szCs w:val="18"/>
                <w:color w:val="auto"/>
              </w:rPr>
              <w:t>Adjusted EBITDA (controlling interest)</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8"/>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Economic net income (controlling interest)</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780.7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191"/>
        </w:trPr>
        <w:tc>
          <w:tcPr>
            <w:tcW w:w="564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46" w:lineRule="exact"/>
        <w:rPr>
          <w:sz w:val="20"/>
          <w:szCs w:val="20"/>
          <w:color w:val="auto"/>
        </w:rPr>
      </w:pPr>
    </w:p>
    <w:p>
      <w:pPr>
        <w:ind w:left="340" w:right="460" w:hanging="332"/>
        <w:spacing w:after="0" w:line="277"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8"/>
          <w:szCs w:val="18"/>
          <w:color w:val="auto"/>
        </w:rPr>
        <w:t>Adjusted EBITDA (controlling interest) and Economic net income (controlling interest) are non-GAAP performance measures and are discussed in “Supplemental Financial Performance Measures.”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our contingent payment arrangements. Adjusted EBITDA (controlling interest) was $841.6 million in 2019, a decrease of $120.2 million or 12% as compared to 2018. The decrease in Adjusted EBITDA (controlling interest) was primarily due to a 9% decrease in aggregate fees and a decline in earnings at certain Affiliates in which we share in revenue less agreed-upon expenses.</w:t>
      </w:r>
    </w:p>
    <w:p>
      <w:pPr>
        <w:spacing w:after="0" w:line="24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income (controlling interest) was $15.7 million in 2019, a decrease of $227.9 million or 94%, as compared to 2018. The decrease in Net income (controlling interest) was primarily due to a $290.9 million increase in intangible amortization and impairments, including a $256.6 million increase in equity method intangible amortization and impairments and a $34.3 million increase in consolidated intangible amortization and impairments expense attributable to the controlling interest. The decrease was also the result of a $120.2 million decrease in Adjusted EBITDA (controlling interest), primarily due to a decline in aggregate fees. These decreases were partially offset by a $178.5 million decrease in Income tax expense, primarily due to a decline in income before income taxes (controlling interest).</w:t>
      </w:r>
    </w:p>
    <w:p>
      <w:pPr>
        <w:spacing w:after="0" w:line="24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We believe Economic net income (controlling interest) is an important supplemental financial performance measure because it represents our performance before non-cash expenses relating to our acquisition of interests in Affiliates and improves comparability of performance between periods. Economic net income (controlling interest) was $720.2 million in 2019, a decrease of $60.5 million or 8% as compared to 2018. The decrease in Economic net income (controlling interest) was primarily due to a $120.2 million decrease in Adjusted EBITDA (controlling interest), primarily from a decrease in aggregate fees, partially offset by a $60.9 million cash tax benefit recognized on the sale of an Affiliate.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discussion and analysis of the key operating performance measures and financial results for fiscal year 2019 compared to fiscal year 2018 is included herein. For discussion and analysis of fiscal year 2018 compared to fiscal year 2017, please refer to “Management’s Discussion and Analysis of Financial Condition and Results of Operations” in Item 7 of Part II in our Annual Report on Form 10-K for the fiscal year ended December 31, 2018, which was filed with the SEC on February 22, 2019.</w:t>
      </w:r>
    </w:p>
    <w:p>
      <w:pPr>
        <w:spacing w:after="0" w:line="24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following discussion includes the key operating performance measures and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income (loss)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Revenue</w:t>
      </w:r>
    </w:p>
    <w:p>
      <w:pPr>
        <w:spacing w:after="0" w:line="27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Consolidated revenue is derived from our consolidated Affiliates, primarily from asset 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 average assets under management, the composition of these assets across our Affiliate sponsored investment products and client accounts that realize different asset based fee ratios, and performance based fees.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Affiliate average assets under management and Consolidated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456"/>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as noted)</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Affiliate average assets under management (in billions)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419.6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566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2,305.0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2,378.4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2,239.6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Consolidated revenue decreased $138.8 million or 6% in 2019, due to a $187.5 million decrease from asset based fees, partially offset by a $48.7 million increase from performance based fees. The decrease in asset based fees was primarily due to a 6% decrease in consolidated Affiliate average assets under management, primarily in U.S. equity strategies and global equity strategies, and a 2% decline in our consolidated Affiliate asset based fee ratio, principally due to a change in the composition of our assets under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Consolidated expenses are primarily attributable to the non-controlling interests of our consolidated Affiliates in which we share in revenue without regard to expenses. For these Affiliates, the amount of expenses attributable to the non-controlling interests, including compensation, is generally determined by the percentage of revenue allocated to expenses as part of the structured partnership interests in place at the respective Affiliate. Accordingly, increases in revenue generally will increase a consolidated Affiliate’s expenses attributable to the non-controlling interests and decreases in revenue will generally decrease a consolidated Affiliate’s expenses attributable to the non-controlling interests.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376.8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other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consolidated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1,692.0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1,618.8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Compensation and related expenses decreased $44.2 million or 4% in 2019, primarily due to a $30.8 million decrease in bonus and salary expenses as a result of a decline in the percentage of revenue allocated to expenses as part of the structured partnership interests in place at our consolidated Affiliates, and a $15.9 million decrease in Affiliate equity compensation expense. The decrease was also due to a $6.3 million decline in pound sterling-denominated expenses due to changes in foreign currency exchange rates. These decreases were offset by a $5.5 million increase in compensation related to headcount repositioning in 2019.</w:t>
      </w:r>
    </w:p>
    <w:p>
      <w:pPr>
        <w:spacing w:after="0" w:line="2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Selling, general and administrative expenses decreased $40.9 million or 10% in 2019, primarily due to a $28.9 million decrease from sub-advisory and distribution expenses related to a decrease in consolidated Affiliate average assets under management and a decrease of $5.3 million in travel-related, marketing, and notes receivable reserve expenses. The decrease was also due to a $4.8 million decline in pound sterling-denominated expenses due to changes in foreign currency exchange rates.</w:t>
      </w:r>
    </w:p>
    <w:p>
      <w:pPr>
        <w:spacing w:after="0" w:line="2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Intangible amortization and impairments increased $29.7 million or 26% in 2019, primarily due to a $35.0 million expense to reduce the carrying value to fair value of an indefinite-lived acquired client relationship at one of our Affiliates, and a $16.1 million expense to reduce the carrying value to zero of certain indefinite-lived acquired client relationships due to the closure of certain retail investment products on our U.S. retail distribution platform. These increases were partially offset by a $19.4 million reduction in amortization expense related to a decrease in actual and expected client attrition for certain definite-lived acquired client relationships.</w:t>
      </w:r>
    </w:p>
    <w:p>
      <w:pPr>
        <w:spacing w:after="0" w:line="24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Interest expense decreased $4.4 million or 5% in 2019, primarily due to a $10.1 million decrease due to our pound sterling-denominated forward foreign currency contracts and a $7.5 million decrease primarily due to lower borrowings on our senior unsecured multicurrency revolving credit facility (the “revolver”). These decreases were partially offset by a $13.4 million increase due to our junior subordinated notes issued in March 2019.</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in Depreciation and other amortization in 2019.</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Other expenses (net) decreased $12.7 million or 18% in 2019, primarily due to a $19.5 million decrease in charitable contributions, partially offset by an $8.1 million expense to reduce certain right-of-use assets to their fair value, related to a reduction in leased office space.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Income (Loss) (Net)</w:t>
      </w:r>
    </w:p>
    <w:p>
      <w:pPr>
        <w:spacing w:after="0" w:line="14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When we do not own a controlling equity interest in an Affiliate, but have significant influence, we account for our interest in the Affiliate under the equity method. Our share of earnings or losses from Affiliates accounted for under the equity method, net of amortization and impairments, is included in Equity method income (loss) (net) in our Consolidated Statements of Income.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For a majority of these Affiliates, we use structured partnership interests in which we contractually share in the Affiliate’s revenue less agreed-upon expenses. We also use structured partnership interests in which we contractually share in the Affiliate’s revenue without regard to expenses, and in this type of partnership interest, our contractual share of revenue generally has priority over distributions to Affiliate management.</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equity method revenue is derived primarily from asset and performance based fees from investment management services. Equity method revenue incorporates the total asset and performance based fees earned by all of our Affiliates accounted for under the equity method and is generally determined by the level of our equity method Affiliate average assets under management, the composition of these assets across our Affiliate sponsored investment products and client accounts that realize different asset based fee ratios, and performance based fees. Our Affiliates accounted for under the equity method manage a greater proportion of assets subject to performance based fees than our consolidated Affiliates and, as a result, equity method revenue will generally have more performance based fees than Consolidated revenue.</w:t>
      </w:r>
    </w:p>
    <w:p>
      <w:pPr>
        <w:spacing w:after="0" w:line="11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equity method Affiliate average assets under management and equity method revenue, as well as equity method earnings and equity method intangible amortization and impairments, which in aggregate form Equity method income (loss)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as noted)</w:t>
            </w: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Performance Measures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Equity method Affiliate average assets under management (in billions)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400.3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363.0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3,064.0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2,723.1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Performance Measures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method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intangible amortization and impairments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61"/>
        </w:trPr>
        <w:tc>
          <w:tcPr>
            <w:tcW w:w="5620" w:type="dxa"/>
            <w:vAlign w:val="bottom"/>
          </w:tcPr>
          <w:p>
            <w:pPr>
              <w:ind w:left="180"/>
              <w:spacing w:after="0"/>
              <w:rPr>
                <w:sz w:val="20"/>
                <w:szCs w:val="20"/>
                <w:color w:val="auto"/>
              </w:rPr>
            </w:pPr>
            <w:r>
              <w:rPr>
                <w:rFonts w:ascii="Arial" w:cs="Arial" w:eastAsia="Arial" w:hAnsi="Arial"/>
                <w:sz w:val="18"/>
                <w:szCs w:val="18"/>
                <w:color w:val="auto"/>
              </w:rPr>
              <w:t>Equity method income (loss)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N.M.</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equity method revenue decreased $340.9 million or 11% in 2019, due to a $298.8 million decrease from asset based fees and a $42.1 million decrease from performance based fees. The decrease in asset based fees was primarily due to a 9% decrease in equity method Affiliate average assets under management, primarily in alternative strategies, and a 3% decline in our equity method asset based fee ratio, principally due to a change in the composition of our assets under management.</w:t>
      </w:r>
    </w:p>
    <w:p>
      <w:pPr>
        <w:spacing w:after="0" w:line="10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While equity method revenue decreased $340.9 million or 11% in 2019, equity method earnings decreased $81.2 million or 22%. Equity method earnings decreased more than equity method revenue on a percentage basis due to decreases in revenue at certain Affiliates in which we share in the Affiliate’s revenue less agreed-upon expenses. The expense bases of these Affiliates are generally less variable and in 2019 include expenses related to headcount repositioning and a reduction in leased office space.</w:t>
      </w:r>
    </w:p>
    <w:p>
      <w:pPr>
        <w:spacing w:after="0" w:line="24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Equity method intangible amortization and impairments increased $256.6 million or 69% in 2019, primarily due to a $485.0 million expense in 2019 to reduce the carrying value to fair value of certain Affiliates, as compared to a $273.3 million expense in 2018 to reduce the carrying value to fair value of certain Affiliates. See Note 10 of our Consolidated Financial Statements. The increase was also due to a $45.7 million increase in amortization expense due to an increase in actual and expected client attrition for certain definite-lived acquired client relationships.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and other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Investment and other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7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and other income</w:t>
            </w:r>
          </w:p>
        </w:tc>
        <w:tc>
          <w:tcPr>
            <w:tcW w:w="2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  $</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67"/>
        </w:trPr>
        <w:tc>
          <w:tcPr>
            <w:tcW w:w="3880" w:type="dxa"/>
            <w:vAlign w:val="bottom"/>
          </w:tcPr>
          <w:p>
            <w:pPr>
              <w:spacing w:after="0"/>
              <w:rPr>
                <w:sz w:val="24"/>
                <w:szCs w:val="24"/>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Investment and other income decreased $2.2 million or 8% in 2019, primarily due to a $12.8 million decrease from the valuation of Other investments, primarily attributable to general partner investments in private equity funds, partially offset by a $9.6 million net increase from the valuation and realized gains on sales of Investments in marketable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Change</w:t>
            </w: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N.M.</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191"/>
        </w:trPr>
        <w:tc>
          <w:tcPr>
            <w:tcW w:w="5740" w:type="dxa"/>
            <w:vAlign w:val="bottom"/>
          </w:tcPr>
          <w:p>
            <w:pPr>
              <w:jc w:val="right"/>
              <w:ind w:right="3782"/>
              <w:spacing w:after="0"/>
              <w:rPr>
                <w:sz w:val="20"/>
                <w:szCs w:val="20"/>
                <w:color w:val="auto"/>
              </w:rPr>
            </w:pPr>
            <w:r>
              <w:rPr>
                <w:rFonts w:ascii="Arial" w:cs="Arial" w:eastAsia="Arial" w:hAnsi="Arial"/>
                <w:sz w:val="14"/>
                <w:szCs w:val="14"/>
                <w:color w:val="auto"/>
                <w:w w:val="91"/>
              </w:rPr>
              <w:t>__________________________</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8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Income tax expense decreased $178.4 million or 98% in 2019, primarily due to a $406.4 million decrease in income before income taxes (controlling interest) in 2019, and a $240.0 million expense recorded to reduce the carrying value to fair value of an Affiliate for which we did not recognize an income tax benefit in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Net income (controlling interest) and Net income (non-controlling interest):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   1,008.7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(47)%  $</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(non-controlling interests)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5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(65)%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Net income (controlling interest) decreased $227.9 million or 94% in 2019, primarily due to a $337.8 million increase in Equity method loss (net), a decrease in Consolidated revenue, and a $34.3 million increase in consolidated intangible amortization and impairments expense attributable to the controlling interest. These increases were partially offset by a $178.5 million decrease in Income tax expense attributable to the controlling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Performance Measures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(controlling interest)</w:t>
      </w:r>
    </w:p>
    <w:p>
      <w:pPr>
        <w:spacing w:after="0" w:line="185"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As supplemental information, we provide a non-GAAP measure that we refer to as Adjusted EBITDA (controlling interest). 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contingent payment arrangements. We believe that many investors use this measure when assessing the financial performance of companies in the investment management industry. This non-GAAP performance measure is provided in addition to, but not as a substitute for, Net income (controlling interest) or other GAAP performance measures.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Adjusted EBITDA (controlling interest):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3"/>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18"/>
                <w:szCs w:val="18"/>
                <w:color w:val="auto"/>
                <w:vertAlign w:val="superscript"/>
              </w:rPr>
              <w:t>(2)</w:t>
            </w:r>
          </w:p>
        </w:tc>
        <w:tc>
          <w:tcPr>
            <w:tcW w:w="24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72"/>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items</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Adjusted EBITDA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8"/>
          <w:szCs w:val="18"/>
          <w:color w:val="auto"/>
        </w:rPr>
        <w:t>For the year ended December 31, 2017, Income taxes includes a one-time net benefit of $194.1 million from changes in U.S. tax laws.</w:t>
      </w:r>
    </w:p>
    <w:p>
      <w:pPr>
        <w:spacing w:after="0" w:line="225" w:lineRule="exact"/>
        <w:rPr>
          <w:rFonts w:ascii="Arial" w:cs="Arial" w:eastAsia="Arial" w:hAnsi="Arial"/>
          <w:sz w:val="18"/>
          <w:szCs w:val="18"/>
          <w:color w:val="auto"/>
          <w:vertAlign w:val="superscript"/>
        </w:rPr>
      </w:pPr>
    </w:p>
    <w:p>
      <w:pPr>
        <w:ind w:left="340" w:right="280" w:hanging="332"/>
        <w:spacing w:after="0" w:line="286" w:lineRule="auto"/>
        <w:tabs>
          <w:tab w:leader="none" w:pos="340" w:val="left"/>
        </w:tabs>
        <w:numPr>
          <w:ilvl w:val="0"/>
          <w:numId w:val="16"/>
        </w:numPr>
        <w:rPr>
          <w:rFonts w:ascii="Arial" w:cs="Arial" w:eastAsia="Arial" w:hAnsi="Arial"/>
          <w:sz w:val="17"/>
          <w:szCs w:val="17"/>
          <w:color w:val="auto"/>
          <w:vertAlign w:val="superscript"/>
        </w:rPr>
      </w:pPr>
      <w:r>
        <w:rPr>
          <w:rFonts w:ascii="Arial" w:cs="Arial" w:eastAsia="Arial" w:hAnsi="Arial"/>
          <w:sz w:val="17"/>
          <w:szCs w:val="17"/>
          <w:color w:val="auto"/>
        </w:rPr>
        <w:t>Intangible amortization and impairments in our Consolidated Statements of Income includes amortization attributable to our non-controlling interests. For our Affiliates accounted for under the equity method, we do not separately report intangible amortization and impairments in our Consolidated Statements of Income. Our share of these Affiliates’ amortization is reported in Equity method income (loss) (net).</w:t>
      </w:r>
    </w:p>
    <w:p>
      <w:pPr>
        <w:spacing w:after="0" w:line="84" w:lineRule="exact"/>
        <w:rPr>
          <w:rFonts w:ascii="Arial" w:cs="Arial" w:eastAsia="Arial" w:hAnsi="Arial"/>
          <w:sz w:val="17"/>
          <w:szCs w:val="17"/>
          <w:color w:val="auto"/>
          <w:vertAlign w:val="superscript"/>
        </w:rPr>
      </w:pPr>
    </w:p>
    <w:p>
      <w:pPr>
        <w:ind w:left="340"/>
        <w:spacing w:after="0"/>
        <w:rPr>
          <w:rFonts w:ascii="Arial" w:cs="Arial" w:eastAsia="Arial" w:hAnsi="Arial"/>
          <w:sz w:val="17"/>
          <w:szCs w:val="17"/>
          <w:color w:val="auto"/>
          <w:vertAlign w:val="superscript"/>
        </w:rPr>
      </w:pPr>
      <w:r>
        <w:rPr>
          <w:rFonts w:ascii="Arial" w:cs="Arial" w:eastAsia="Arial" w:hAnsi="Arial"/>
          <w:sz w:val="18"/>
          <w:szCs w:val="18"/>
          <w:color w:val="auto"/>
        </w:rPr>
        <w:t>The following table presents the Intangible amortization and impairments shown above:</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374"/>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intangible amortization and impairments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Consolidated intangible amortization (non-controlling interests)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 and impairments</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right="100"/>
        <w:spacing w:after="0" w:line="312" w:lineRule="auto"/>
        <w:rPr>
          <w:sz w:val="20"/>
          <w:szCs w:val="20"/>
          <w:color w:val="auto"/>
        </w:rPr>
      </w:pPr>
      <w:r>
        <w:rPr>
          <w:rFonts w:ascii="Arial" w:cs="Arial" w:eastAsia="Arial" w:hAnsi="Arial"/>
          <w:sz w:val="16"/>
          <w:szCs w:val="16"/>
          <w:color w:val="auto"/>
        </w:rPr>
        <w:t>For the year ended December 31, 2019, consolidated intangible amortization and impairments includes $51.1 million of non-cash expenses to reduce the carrying value to fair value of an indefinite-lived acquired client relationship at one of our Affiliates and to reduce the carrying value to zero of certain indefinite-lived acquired client relationships due to the closure of certain retail investment products on our U.S. retail distribution platform.</w:t>
      </w:r>
    </w:p>
    <w:p>
      <w:pPr>
        <w:spacing w:after="0" w:line="14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For the years ended December 31, 2017, 2018 and 2019, equity method intangible amortization and impairments includes $93.1 million, $273.3 million and $485.0 million, respectively, of non-cash expenses to reduce the carrying value to fair value of certain Affiliates.</w:t>
      </w:r>
    </w:p>
    <w:p>
      <w:pPr>
        <w:spacing w:after="0" w:line="8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8"/>
          <w:szCs w:val="18"/>
          <w:color w:val="auto"/>
        </w:rPr>
        <w:t>Other items include depreciation and adjustments to contingent payment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Economic Net Income (controlling interest) and Economic Earnings Per Share</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supplemental information, we also provide non-GAAP performance measures that we refer to as Economic net income (controlling interest) and Economic earnings per share. We believe Economic net income (controlling interest) and Economic earnings per share are important measures because they represent our performance before non-cash expenses relating to the acquisition of interests in Affiliates and improve comparability of performance between periods. Economic net income (controlling interest) and Economic earnings per share are used by our management and Board of Directors as our principal performance benchmarks, including as one of the measures for aligning executive compensation with stockholder value. These non-GAAP performance measures are provided in addition to, but not as substitutes for, Net income (controlling interest) and Earnings per share (diluted) or other GAAP performance measures.</w:t>
      </w:r>
    </w:p>
    <w:p>
      <w:pPr>
        <w:spacing w:after="0" w:line="10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adjust Net income (controlling interest) to calculate Economic net income (controlling interest) by adding back our share of pre-tax intangible amortization and impairments attributable to intangible assets because these expenses do not correspond to the changes in the value of these assets, which do not diminish predictably over time. We also add back the deferred taxes attributable to intangible assets because we believe it is unlikely these accruals will be used to settle material tax obligations. Further, we add back other economic items to improve comparability of performance between periods.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Economic earnings per share represents Economic net income (controlling interest) divided by the Average shares outstanding (adjusted diluted). In this calculation, the potential share issuance in connection with our junior convertible securities is measured using a “treasury stock” method. Under this method, only the net number of shares of common stock equal to the value of these junior convertible securities in excess of par, if any, is deemed to be outstanding.</w:t>
      </w:r>
    </w:p>
    <w:p>
      <w:pPr>
        <w:ind w:right="100"/>
        <w:spacing w:after="0" w:line="255" w:lineRule="auto"/>
        <w:rPr>
          <w:sz w:val="20"/>
          <w:szCs w:val="20"/>
          <w:color w:val="auto"/>
        </w:rPr>
      </w:pPr>
      <w:r>
        <w:rPr>
          <w:rFonts w:ascii="Arial" w:cs="Arial" w:eastAsia="Arial" w:hAnsi="Arial"/>
          <w:sz w:val="18"/>
          <w:szCs w:val="18"/>
          <w:color w:val="auto"/>
        </w:rPr>
        <w:t>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2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a reconciliation of Net income (controlling interest) to Economic net income (controlling interest) and Economic earnings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Intangible-related deferred taxes</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8"/>
                <w:szCs w:val="18"/>
                <w:color w:val="auto"/>
              </w:rPr>
              <w:t>Other economic items</w:t>
            </w:r>
            <w:r>
              <w:rPr>
                <w:rFonts w:ascii="Arial" w:cs="Arial" w:eastAsia="Arial" w:hAnsi="Arial"/>
                <w:sz w:val="18"/>
                <w:szCs w:val="18"/>
                <w:color w:val="auto"/>
                <w:vertAlign w:val="superscript"/>
              </w:rPr>
              <w:t>(3)</w:t>
            </w:r>
          </w:p>
        </w:tc>
        <w:tc>
          <w:tcPr>
            <w:tcW w:w="2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U.S. tax laws</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Economic net income (controlling interest)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824.4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Assumed issuance of junior convertible securities shares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(adjusted diluted)</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Economic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8"/>
          <w:szCs w:val="18"/>
          <w:color w:val="auto"/>
        </w:rPr>
        <w:t>See note (2) to the table in “Adjusted EBITDA (controlling interest).”</w:t>
      </w:r>
    </w:p>
    <w:p>
      <w:pPr>
        <w:spacing w:after="0" w:line="225" w:lineRule="exact"/>
        <w:rPr>
          <w:rFonts w:ascii="Arial" w:cs="Arial" w:eastAsia="Arial" w:hAnsi="Arial"/>
          <w:sz w:val="18"/>
          <w:szCs w:val="18"/>
          <w:color w:val="auto"/>
          <w:vertAlign w:val="superscript"/>
        </w:rPr>
      </w:pPr>
    </w:p>
    <w:p>
      <w:pPr>
        <w:ind w:left="340" w:right="40" w:hanging="332"/>
        <w:spacing w:after="0" w:line="286"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7"/>
          <w:szCs w:val="17"/>
          <w:color w:val="auto"/>
        </w:rPr>
        <w:t>For the years ended December 31, 2017 and 2019, intangible-related deferred taxes decreased $35.7 million and $76.6 million, respectively, as a result of expenses to reduce the carrying value to fair value as described in note (2) to the table in “Adjusted EBITDA (controlling interest).” For the year ended December 31, 2018, intangible-related deferred taxes increased $19.9 million due to Affiliate divestments.</w:t>
      </w:r>
    </w:p>
    <w:p>
      <w:pPr>
        <w:spacing w:after="0" w:line="165" w:lineRule="exact"/>
        <w:rPr>
          <w:rFonts w:ascii="Arial" w:cs="Arial" w:eastAsia="Arial" w:hAnsi="Arial"/>
          <w:sz w:val="17"/>
          <w:szCs w:val="17"/>
          <w:color w:val="auto"/>
          <w:vertAlign w:val="superscript"/>
        </w:rPr>
      </w:pPr>
    </w:p>
    <w:p>
      <w:pPr>
        <w:ind w:left="340" w:right="20" w:hanging="332"/>
        <w:spacing w:after="0" w:line="264"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8"/>
          <w:szCs w:val="18"/>
          <w:color w:val="auto"/>
        </w:rPr>
        <w:t>For the years ended December 31, 2017, 2018 and 2019, Other economic items were net of income tax expense of $5.8 million, $0.8 million and $0.7 million, respectively. Beginning January 1, 2019, other economic items include tax windfalls and shortfalls from share-based compensation. Prior periods have not been revised as the amounts were not 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generate long-term value by investing in new Affiliates, investing in existing Affiliates, and investing in centralized capabilities through which we can leverage our scale and resources to benefit our Affiliates and enhance their long-term growth prospects. We then return capital to shareholders through share repurchases and the payment of cash dividends on our common stock while maintaining a conservative capital structure consistent with an investment grade rating.</w:t>
      </w:r>
    </w:p>
    <w:p>
      <w:pPr>
        <w:spacing w:after="0" w:line="18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Cash and cash equivalents were $539.6 million as of December 31, 2019 and were primarily attributable to the non-controlling interest. In 2019, we met our cash requirements primarily through cash generated by operating activities. Our principal uses of cash during the year were for investments in new Affiliates, investments in existing Affiliates primarily through repurchases of Affiliate equity interests, repayment of debt and the return of capital through share repurchases and the payment of cash dividends on our common stock. We expect these will be the primary uses of capital for the foreseeable future.</w:t>
      </w:r>
    </w:p>
    <w:p>
      <w:pPr>
        <w:spacing w:after="0" w:line="15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anticipate that cash flows from operations, together with borrowings under our revolver, will be sufficient to support our cash flow needs. In addition, we may draw funding from the debt and equity capital markets, and our credit ratings, among other factors, allow us to access these sources of funding on favorable terms. We are currently rated A3 by Moody’s Investors Service and BBB+ by S&amp;P Global Ratings.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operating, investing and financing cash flow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2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w:t>
      </w:r>
    </w:p>
    <w:p>
      <w:pPr>
        <w:spacing w:after="0" w:line="14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Operating cash flows are calculated by adjusting Net income for other significant sources and uses of cash, significant non-cash items and timing differences in the cash settlement of assets and liabilities.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the year ended December 31, 2019, Cash flows from operating activities were $929.1 million, primarily from Net income of $305.1 million, adjusted for non-cash intangible amortization and impairments of $771.9 million, including $627.4 million for our Affiliates accounted for under the equity method and included in Equity method income (loss) (net) and $144.5 million for acquired client relationships at consolidated Affiliates. These items were partially offset by timing differences in the cash settlement of assets and liabilities, which reduced operating cash flow by $149.1 million on a net basis. In 2019, approximately 70% of the Cash flows from operating activities were attributable to the controlling interest.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Cash Flow</w:t>
      </w:r>
    </w:p>
    <w:p>
      <w:pPr>
        <w:spacing w:after="0" w:line="14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For the year ended December 31, 2019, Cash flows used in investing activities were $24.4 million, primarily due to investments in new and existing Affiliates of $162.3 million, partially offset by the receipt of sales proceeds of $117.7 million from the divestment of certain Affiliates. These activities were primarily attributable to the controlling interest.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Cash Flow</w:t>
      </w:r>
    </w:p>
    <w:p>
      <w:pPr>
        <w:spacing w:after="0" w:line="144"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For the year ended December 31, 2019, Cash flows used in financing activities were $934.7 million, primarily due to the return of $421.4 million of capital to shareholders through share repurchases and dividends on our common stock and $135.5 million of Affiliate equity repurchases and issuances (net). Cash flows used in financing activities also includes the repayment of $39.3 million on a net basis of outstanding debt. These activities were attributable to the controlling interest. Cash flows used in financing activities also includes $347.9 million of distributions attributable to the non-controlling interests.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Equity</w:t>
      </w:r>
    </w:p>
    <w:p>
      <w:pPr>
        <w:spacing w:after="0" w:line="27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periodically repurchase Affiliate equity from and issue Affiliate equity to our consolidated Affiliate partners and our officers, under agreements that provide us with a conditional right to call and Affiliate equity holders with a conditional right to put their Affiliate equity interests to us at certain intervals.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21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As of December 31, 2019, the current redemption value of $916.7 million for these interests (including $21.6 million of consolidated Affiliate sponsored investment products primarily attributable to third-party investors) has been presented as Redeemable non-controlling interests. Although the timing and amounts of these purchases are difficult to predict, we paid $146.0 million for repurchases and received $10.5 million for issuances of Affiliate equity during 2019, and we expect to repurchase a total of approximately $190 million of Affiliate equity in 2020. In the event of a repurchase, we become the owner of the cash flow associated with the repurchased equity. See Notes 17 and 18 of our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79"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Our Board of Directors authorized share repurchase programs in October 2019, January 2019 and January 2018, authorizing us to repurchase up to 6.0 million, 3.3 million and 3.4 million shares of our common stock, respectively, and these authorizations have no expiry. Purchases may be made from time to time, at management’s discretion, in the open market or in privately negotiated transactions, including through the use of derivative financial instruments and accelerated share repurchase programs. For the year ended December 31, 2019, we repurchased 4.1 million shares of our common stock, at an average price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per share of $88.73. As of December 31, 2019, there were a total of 6.9 million shares available for repurchase under our October 2019 and January 2019 share repurchase programs and no shares remained under the January 2018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outstanding indebtedness. See Note 5 of our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bank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746.8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convertible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Junior subordinated notes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290.7</w:t>
            </w:r>
          </w:p>
        </w:tc>
      </w:tr>
    </w:tbl>
    <w:p>
      <w:pPr>
        <w:spacing w:after="0" w:line="229"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carrying value of long-term debt differs from the amount reported in the notes to our Consolidated Financial Statements, as the carrying value of the long-term debt in the table above is not reduced for debt issuance costs.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Bank Debt</w:t>
      </w:r>
    </w:p>
    <w:p>
      <w:pPr>
        <w:spacing w:after="0" w:line="144" w:lineRule="exact"/>
        <w:rPr>
          <w:sz w:val="20"/>
          <w:szCs w:val="20"/>
          <w:color w:val="auto"/>
        </w:rPr>
      </w:pPr>
    </w:p>
    <w:p>
      <w:pPr>
        <w:jc w:val="both"/>
        <w:ind w:right="340" w:firstLine="324"/>
        <w:spacing w:after="0" w:line="312" w:lineRule="auto"/>
        <w:rPr>
          <w:sz w:val="20"/>
          <w:szCs w:val="20"/>
          <w:color w:val="auto"/>
        </w:rPr>
      </w:pPr>
      <w:r>
        <w:rPr>
          <w:rFonts w:ascii="Arial" w:cs="Arial" w:eastAsia="Arial" w:hAnsi="Arial"/>
          <w:sz w:val="16"/>
          <w:szCs w:val="16"/>
          <w:color w:val="auto"/>
        </w:rPr>
        <w:t>We have a $1.25 billion revolver and a $450.0 million senior unsecured term loan facility (the “term loan” and, together with the revolver, the “credit facilities”). The revolver matures on January 18, 2024, and the term loan matures on January 18, 2023. Subject to certain conditions, we may increase the commitments under the revolver by up to an additional $500.0 million and may borrow up to an additional $75.0 million under the term loan.</w:t>
      </w:r>
    </w:p>
    <w:p>
      <w:pPr>
        <w:spacing w:after="0" w:line="14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Affiliate equity expense are added back to EBITDA. As of December 31, 2019, our bank leverage and bank interest coverage ratios were 1.3x and 10.8x, respectively, and we were in compliance with all of the terms of our credit facilities. As of December 31, 2019, we had no borrowings outstanding under our revolver, and could borrow all capacity and remain in compliance with our credit facilities.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 and Junior Subordinated Notes</w:t>
      </w:r>
    </w:p>
    <w:p>
      <w:pPr>
        <w:spacing w:after="0" w:line="14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2019, we had the following senior notes and junior subordinated notes outstanding, the respective principal terms of which are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2059</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Junior Subordinated</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February 2014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February 2015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February 2024</w:t>
            </w:r>
          </w:p>
        </w:tc>
        <w:tc>
          <w:tcPr>
            <w:tcW w:w="20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August 2025</w:t>
            </w:r>
          </w:p>
        </w:tc>
        <w:tc>
          <w:tcPr>
            <w:tcW w:w="12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March 2059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 value (in millions)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Stated coupon</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ind w:left="840"/>
              <w:spacing w:after="0"/>
              <w:rPr>
                <w:sz w:val="20"/>
                <w:szCs w:val="20"/>
                <w:color w:val="auto"/>
              </w:rPr>
            </w:pPr>
            <w:r>
              <w:rPr>
                <w:rFonts w:ascii="Arial" w:cs="Arial" w:eastAsia="Arial" w:hAnsi="Arial"/>
                <w:sz w:val="18"/>
                <w:szCs w:val="18"/>
                <w:color w:val="auto"/>
                <w:w w:val="91"/>
              </w:rPr>
              <w:t>5.875%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Coupon frequency</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Semi-annually</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Semi-annually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Quarterly</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Potential call date</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Any time</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Any time</w:t>
            </w:r>
          </w:p>
        </w:tc>
        <w:tc>
          <w:tcPr>
            <w:tcW w:w="12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March 2024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Listing</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We used a majority of the net proceeds from the junior subordinated notes, issued in 2019, to repay outstanding indebtedness under the revolver, with the remaining proceeds used for other general corporate purposes.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Convertible Securities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2019, we had 5.15% junior convertible trust preferred securities outstanding (the “junior convertible securities”) with a carrying value of $315.4 million. The carrying value is accreted to the principal amount at maturity ($430.8 million) over a remaining life of approximately 18 years. Holders of the junior convertible securities have no rights to put these securities to us. Upon conversion, holders will receive cash or shares of our common stock, or a combination thereof, at our election. The junior convertible securities are considered contingent payment debt instruments under federal income tax regulations, which require us to deduct interest in an amount greater than our reported interest expense. These deductions will generate annual deferred tax liabilities of $8.4 million. These deferred tax liabilities will be reclassified directly to stockholders’ equity if our common stock is trading above certain thresholds at the time of the conversion of the securities. In August 2019, in accordance with the convertible securities indenture, we adjusted the conversion rate of the junior convertible securities as a result of the cumulative declared dividends on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4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entered into equity distribution and forward equity agreements with several major securities firms under which we may, from time to time, issue and sell shares of our common stock (immediately or on a forward basis) having an aggregate sales price of up to $500.0 million (the “equity distribution program”). As of December 31, 2019, no sales had occurred under the equity distribution program.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2018, we entered into two separate pound sterling-denominated forward foreign currency contracts (the “forward contracts”) with a large financial institution (the “counterparty”) to access lower interest rates, and concurrently entered into two separate collar contracts with the same counterparty for the same notional amounts and expiration dates as the forward contracts. Certain of our Affiliates also use foreign currency contracts to hedge the risk of foreign exchange rate movements. See Note 6 of our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of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 presents our contractual obligations as of December 31, 2019. Contractual debt obligations include the cash payment of fixed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Payments Due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2"/>
                <w:szCs w:val="22"/>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2"/>
                <w:szCs w:val="22"/>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2023-2024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Thereafter</w:t>
            </w: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bank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Junior convertible securities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719.2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912.5</w:t>
            </w: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Leases</w:t>
            </w:r>
            <w:r>
              <w:rPr>
                <w:rFonts w:ascii="Arial" w:cs="Arial" w:eastAsia="Arial" w:hAnsi="Arial"/>
                <w:sz w:val="18"/>
                <w:szCs w:val="18"/>
                <w:color w:val="auto"/>
                <w:vertAlign w:val="superscript"/>
              </w:rPr>
              <w:t>(1)</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82.4</w:t>
            </w:r>
          </w:p>
        </w:tc>
      </w:tr>
      <w:tr>
        <w:trPr>
          <w:trHeight w:val="272"/>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Affiliate equity repurchase obligations</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3,440.2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1,027.5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2,076.4</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68"/>
        </w:trPr>
        <w:tc>
          <w:tcPr>
            <w:tcW w:w="4700" w:type="dxa"/>
            <w:vAlign w:val="bottom"/>
          </w:tcPr>
          <w:p>
            <w:pPr>
              <w:ind w:left="40"/>
              <w:spacing w:after="0"/>
              <w:rPr>
                <w:sz w:val="20"/>
                <w:szCs w:val="20"/>
                <w:color w:val="auto"/>
              </w:rPr>
            </w:pPr>
            <w:r>
              <w:rPr>
                <w:rFonts w:ascii="Arial" w:cs="Arial" w:eastAsia="Arial" w:hAnsi="Arial"/>
                <w:sz w:val="18"/>
                <w:szCs w:val="18"/>
                <w:color w:val="auto"/>
              </w:rPr>
              <w:t>Contingent payment arrangements</w:t>
            </w:r>
            <w:r>
              <w:rPr>
                <w:rFonts w:ascii="Arial" w:cs="Arial" w:eastAsia="Arial" w:hAnsi="Arial"/>
                <w:sz w:val="18"/>
                <w:szCs w:val="18"/>
                <w:color w:val="auto"/>
                <w:vertAlign w:val="superscript"/>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1270</wp:posOffset>
            </wp:positionV>
            <wp:extent cx="42621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2603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right="400" w:hanging="332"/>
        <w:spacing w:after="0" w:line="277"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The total controlling interest portion is $62.6 million ($13.0 million through 2020, $23.1 million in 2021-2022, $17.4 million in 2023-2024 and $9.1 million thereafter).</w:t>
      </w:r>
    </w:p>
    <w:p>
      <w:pPr>
        <w:spacing w:after="0" w:line="170" w:lineRule="exact"/>
        <w:rPr>
          <w:rFonts w:ascii="Arial" w:cs="Arial" w:eastAsia="Arial" w:hAnsi="Arial"/>
          <w:sz w:val="18"/>
          <w:szCs w:val="18"/>
          <w:color w:val="auto"/>
          <w:vertAlign w:val="superscript"/>
        </w:rPr>
      </w:pPr>
    </w:p>
    <w:p>
      <w:pPr>
        <w:ind w:left="340" w:right="400" w:hanging="332"/>
        <w:spacing w:after="0" w:line="277"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The Affiliate equity repurchase obligations disclosed in the table represent the fair value of obligations put to us and outstanding as of December 31, 2019.</w:t>
      </w:r>
    </w:p>
    <w:p>
      <w:pPr>
        <w:spacing w:after="0" w:line="170" w:lineRule="exact"/>
        <w:rPr>
          <w:rFonts w:ascii="Arial" w:cs="Arial" w:eastAsia="Arial" w:hAnsi="Arial"/>
          <w:sz w:val="18"/>
          <w:szCs w:val="18"/>
          <w:color w:val="auto"/>
          <w:vertAlign w:val="superscript"/>
        </w:rPr>
      </w:pPr>
    </w:p>
    <w:p>
      <w:pPr>
        <w:ind w:left="340" w:right="140" w:hanging="332"/>
        <w:spacing w:after="0" w:line="277"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The contingent payment arrangements disclosed in the table represent the expected settlement amounts. The maximum settlement amount through 2021 is $150.0 million, and through 2022 is $40.0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table above does not include liabilities for commitments to co-invest in certain Affiliate sponsored investment products or uncertain tax positions of $127.2 million and $65.4 million, respectively. This table also does not include potential obligations relating to our derivative financial instruments (see Note 6 of our Consolidated Financial Statements). These items are excluded as we cannot predict the amount or timing of when such obligations will be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spacing w:after="0" w:line="23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are our critical accounting estimates and judgments used in the preparation of our Consolidated Financial Statements, and due to their subjectivity, actual results could differ materially from the amounts reported.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79"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20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arrangements, when we issue or repurchase Affiliate equity interests and when we test our goodwill, indefinite and definite-lived acquired client relationships or equity method investments for impairment.</w:t>
      </w:r>
    </w:p>
    <w:p>
      <w:pPr>
        <w:spacing w:after="0" w:line="23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determining fair values that reflect our own assumptions concerning unobservable inputs, we typically use valuation techniques, including discounted cash flow analyses, where we make assumptions about growth rates of assets under management, client attrition, asset and performance based fee rates and expenses. In these analyses, we also consider historical and current market multiples, tax benefits, credit risk, interest rates, tax rates, discount rates and discounts for lack of marketability. We consider the reasonableness of our assumptions by comparing our valuation conclusions to observed market transactions and, in certain instances, by consulting with third-party valuation firms. Changes in the assumptions used could significantly impact fair values.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separately recognized. We perform a qualitative impairment assessment at least annually to determine if the carrying value of our single reporting unit is in excess of its fair value. In this qualitative assessment, we typically measure the excess of the fair value of our reporting unit over its carrying value using various qualitative and quantitative factors (including our market capitalization and market multiples for asset management businesses). If there is an indication that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w:t>
      </w:r>
    </w:p>
    <w:p>
      <w:pPr>
        <w:spacing w:after="0" w:line="24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completed our annual goodwill impairment assessment as of September 30, 2019 and no impairment was indicated. For purposes of our assessment, we considered various qualitative and quantitative factors and determined that the fair value of our reporting unit was substantially greater than its respective carrying amount, including goodwill.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Acquired Client Relationships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Indefinite-lived acquired client relationships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We perform indefinite-lived acquired client relationship impairment assessments annually, or more frequently should circumstances suggest fair value has declined below the related carrying value. For purposes of our assessments, we consider various qualitative factors (including market multiples) and determine if it is more-likely-than-not that the fair value of each asset group is greater than its carrying amount. If we determine that the fair value has declined below our related carrying value, we perform discounted cash flow analyses to determine the fair value of the asset group and record an expense in Intangible amortization and impairments to reduce the carrying value to its fair value.</w:t>
      </w:r>
    </w:p>
    <w:p>
      <w:pPr>
        <w:spacing w:after="0" w:line="227"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For the year ended December 31, 2019, we completed our annual assessment and recorded a $35.0 million expense to reduce the carrying value to fair value of an indefinite-lived acquired client relationship. See Note 9 of our Consolidated Financial Statements. No other impairments were indicated.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Definite-Lived Acquired Client Relationships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Definite-lived acquired client relationships include investment advisory contracts between our Affiliates and their underlying investors, and are amortized over their expected period of economic benefit. Significant judgment is required to estimate the period that these assets will contribute to our cash flows and the pattern over which these assets will provide an economic benefit. Formally, on an annual basis, or more frequently should client attrition trends warrant a potential revision, we review historical and projected attrition rates and other events that may influence our projections of the future period of economic benefit that we will derive from these relationships. Changes in the expected period of economic benefit of these assets may warrant changes in the period over which the assets are amortized.</w:t>
      </w:r>
    </w:p>
    <w:p>
      <w:pPr>
        <w:spacing w:after="0" w:line="2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perform definite-lived acquired client relationship impairment assessments annually, or more frequently should client attrition trends suggest fair value has declined below the related carrying value. If we determine that the fair value has declined below our related carrying value, an expense is recorded in Intangible amortization and impairments to reduce the carrying value to its fair value. We assess each of our definite-lived acquired client relationships for impairment by comparing their carrying value to the projected undiscounted cash flows of the acquired client relationships.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year ended December 31, 2019, we completed our annual assessment and noted that projected undiscounted cash flows over the remaining life of each of these assets exceed their carrying value and, accordingly, no impairments were identified.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 in Affiliates</w:t>
      </w:r>
    </w:p>
    <w:p>
      <w:pPr>
        <w:spacing w:after="0" w:line="2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periodically perform assessments to determine if fair value may have declined below related carrying value for our equity method investments in Affiliates for a period that we consider to be other-than-temporary. Where we believe that such decline may have occurred, we determine the amount of impairment using valuation methods, such as discounted cash flow techniques. Impairments are recorded as an expense in Equity method income (loss) (net) to reduce the carrying value of the Affiliate to its fair value.</w:t>
      </w:r>
    </w:p>
    <w:p>
      <w:pPr>
        <w:spacing w:after="0" w:line="24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make judgments to determine fair value when we test our equity method investments for impairment, and use valuation techniques that include discounted cash flow analyses, where we make assumptions about growth rates of projected assets under management, client attrition, asset and performance based fees and expenses. In these analyses, we also make judgments about tax benefits, tax rates and discount rates. We consider the reasonableness of our assumptions by comparing our valuation conclusions to observed market transactions and, in certain instances, by consulting with third-party valuation firms. Changes in these assumptions could significantly impact the respective fair value of an equity method investment in an Affiliate.</w:t>
      </w:r>
    </w:p>
    <w:p>
      <w:pPr>
        <w:spacing w:after="0" w:line="7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year ended December 31, 2019, we recorded $485.0 million of expenses to reduce the carrying value to fair value of certain Affiliates. See Note 10 of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and our Affiliates are subject to income taxes in the U.S. and certain foreign jurisdictions. Our income tax expense, deferred tax assets and liabilities and liabilities for unrecognized tax benefits reflect management’s best estimate of current and future taxes to be paid.</w:t>
      </w:r>
    </w:p>
    <w:p>
      <w:pPr>
        <w:spacing w:after="0" w:line="10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recorded in income tax expense in the period in which the change in tax rates is enacted.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principal deferred tax assets relate to deferred compensation, state and foreign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utilized to adjust the carrying values of deferred tax assets to the amount that is more-likely-than-not to be realized.</w:t>
      </w:r>
    </w:p>
    <w:p>
      <w:pPr>
        <w:spacing w:after="0" w:line="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of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 and Affiliate Equity</w:t>
      </w:r>
    </w:p>
    <w:p>
      <w:pPr>
        <w:spacing w:after="0" w:line="2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have share-based compensation arrangements covering directors, senior management and employees. Our share-based compensation arrangements typically vest and become fully exercisable over three to five years of continued employment and, in some cases, may require the satisfaction of certain performance conditions.</w:t>
      </w:r>
    </w:p>
    <w:p>
      <w:pPr>
        <w:spacing w:after="0" w:line="23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determine the fair value of our share-based compensation arrangements on their grant date and record compensation expense based on the number of awards expected to vest. For restricted stock units, we determine the fair value of the units using our share price on the date of grant. For stock options, we estimate the fair value using the Black-Scholes option pricing model, which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 For certain of our awards with performance conditions, the number of restricted stock units or stock options expected to vest may change over time depending upon the performance level achieved.</w:t>
      </w:r>
    </w:p>
    <w:p>
      <w:pPr>
        <w:spacing w:after="0" w:line="2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For share-based compensation arrangements without performance conditions, we recognize expense based on the number of awards expected to vest on a straight-line basis over the requisite service period, including grants that are subject to graded vesting. For all other arrangements, we recognize expense based on the number of awards expected to vest on a straight-line basis for each separately vesting portion of the award.</w:t>
      </w:r>
    </w:p>
    <w:p>
      <w:pPr>
        <w:spacing w:after="0" w:line="22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From time to time, we grant equity interests in our Affiliates to consolidated Affiliate partners and our officers, with vesting, forfeiture and repurchase terms established at the date of grant. The fair value of the equity interests is determined as of the date of grant using a discounted cash flow analysis. Key valuation assumptions include projected assets under management, asset and performance based fees, tax rates, discount rates and discounts for lack of marketability.</w:t>
      </w:r>
    </w:p>
    <w:p>
      <w:pPr>
        <w:spacing w:after="0" w:line="24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Redeemable non-controlling interests represent the currently redeemable value of Affiliate equity interests. We may pay for these Affiliate equity purchases in cash, shares of our common stock or other forms of consideration, at our election. We generally value these interests upon their transfer or repurchase by applying market multiples to cash flows, which is intended to represent fair value. The use of different assumptions could change the value of these interests, including the amount of compensation expense, if any, that we may report upon their transfer or repurchase.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16, 17 and 18 of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 Market Price Risk</w:t>
      </w:r>
    </w:p>
    <w:p>
      <w:pPr>
        <w:spacing w:after="0" w:line="2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Consolidated revenue and equity method revenue are derived primarily from asset based fees that are typically determined as a percentage of the value of a client’s assets under management. Such values are affected by changes in financial markets (including declines in the capital markets, fluctuations in foreign currency exchange rates, inflation rates or the yield curve, and other market factors) and, accordingly, declines in the financial markets may negatively impact our Consolidated revenue and equity method revenue.</w:t>
      </w:r>
    </w:p>
    <w:p>
      <w:pPr>
        <w:spacing w:after="0" w:line="10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31, 2019, we estimate a proportional 1% change in the value of our assets under management would have resulted in an annualized change in asset based fees in Consolidated revenue of $19.4 million for our consolidated Affiliates and in asset based fees in equity method revenue of $15.8 million for our Affiliates accounted for under the equity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80"/>
        <w:spacing w:after="0" w:line="434" w:lineRule="auto"/>
        <w:rPr>
          <w:sz w:val="20"/>
          <w:szCs w:val="20"/>
          <w:color w:val="auto"/>
        </w:rPr>
      </w:pPr>
      <w:r>
        <w:rPr>
          <w:rFonts w:ascii="Arial" w:cs="Arial" w:eastAsia="Arial" w:hAnsi="Arial"/>
          <w:sz w:val="18"/>
          <w:szCs w:val="18"/>
          <w:color w:val="auto"/>
        </w:rPr>
        <w:t xml:space="preserve">This proportional increase or decrease excludes assets under management on which asset based fees are charged on committed capital. </w:t>
      </w:r>
      <w:r>
        <w:rPr>
          <w:rFonts w:ascii="Arial" w:cs="Arial" w:eastAsia="Arial" w:hAnsi="Arial"/>
          <w:sz w:val="18"/>
          <w:szCs w:val="18"/>
          <w:i w:val="1"/>
          <w:iCs w:val="1"/>
          <w:u w:val="single" w:color="auto"/>
          <w:color w:val="auto"/>
        </w:rPr>
        <w:t>Interest Rate Risk</w:t>
      </w:r>
    </w:p>
    <w:p>
      <w:pPr>
        <w:spacing w:after="0" w:line="89"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We have fixed rates of interest on our senior notes, junior subordinated notes and junior convertible securities. While a change in market interest rates would not affect the interest expense incurred on our fixed rate securities, such a change may affect the fair value of these securities. We estimate that a</w:t>
      </w:r>
    </w:p>
    <w:p>
      <w:pPr>
        <w:ind w:right="140"/>
        <w:spacing w:after="0" w:line="252" w:lineRule="auto"/>
        <w:rPr>
          <w:sz w:val="20"/>
          <w:szCs w:val="20"/>
          <w:color w:val="auto"/>
        </w:rPr>
      </w:pPr>
      <w:r>
        <w:rPr>
          <w:rFonts w:ascii="Arial" w:cs="Arial" w:eastAsia="Arial" w:hAnsi="Arial"/>
          <w:sz w:val="18"/>
          <w:szCs w:val="18"/>
          <w:color w:val="auto"/>
        </w:rPr>
        <w:t>1% change in interest rates would have resulted in a net change in the fair value of our fixed rate securities of $129.1 million as of December 31, 2019. This estimate increased relative to the prior year primarily due to the issuance of our junior subordinated notes in 2019. We pay a variable rate of interest on our credit facilities at specified rates, based either on an applicable LIBOR or prime rate, plus a marginal rate determined based on our credit rating. As of December 31, 2019, the interest rate for our outstanding borrowings under the credit facilities was LIBOR plus 0.875%. We estimate that a 1% change in interest rates would have changed our annual interest expense on the outstanding balances under our credit facilities by $4.5 million, as of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Risk</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functional currency of most of our Affiliates is the U.S. dollar. Certain of our Affiliates have the pound sterling or the Canadian dollar as their functional currency, and are, therefore, impacted by movements in pound sterling and Canadian dollar to U.S. dollar foreign currency exchange rates. In addition, the valuations of our foreign Affiliates with a non-U.S. dollar functional currency change based on fluctuations in foreign currency exchange rates. These changes are recorded as a component of stockholders’ equity.</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illustrate the effect of possible changes in foreign currency exchange rates, we estimate a 1% change in the pound sterling and Canadian dollar to U.S. dollar exchange rates would have resulted in changes to stockholders’ equity of $2.5 million and $2.1 million, respectively, based on the December 31, 2019 carrying value of Affiliates whose functional currency is the pound sterling or the Canadian dollar, and of our and our Affiliates’ pound sterling-denominated derivative financial instruments. For the year ended December 31, 2019, we estimate a 1% change in the pound sterling and the Canadian dollar to U.S. dollar exchange rates would have resulted in annual changes to Income before income taxes (controlling interest) of $1.1 million and $0.3 million, respectively.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24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December 31, 2019,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has determined that the Company’s internal control over financial reporting as of December 31, 2019 was effective.</w:t>
      </w:r>
    </w:p>
    <w:p>
      <w:pPr>
        <w:spacing w:after="0" w:line="241"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The Company’s internal control over financial reporting as of December 31, 2019 has been audited by PricewaterhouseCoopers LLP,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2019.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Affiliated Managers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We have audited the accompanying consolidated balance sheets of Affiliated Managers Group, Inc. and its subsidiaries (the “Company”) as of December 31, 2019 and 2018, and the related consolidated statements of income, comprehensive income, changes in equity and cash flows for each of the three years in the period ended December 31, 2019, including the related notes and financial statement schedule listed in the index appearing under Item 15(a)(2)</w:t>
      </w:r>
    </w:p>
    <w:p>
      <w:pPr>
        <w:spacing w:after="0" w:line="255" w:lineRule="auto"/>
        <w:rPr>
          <w:sz w:val="20"/>
          <w:szCs w:val="20"/>
          <w:color w:val="auto"/>
        </w:rPr>
      </w:pPr>
      <w:r>
        <w:rPr>
          <w:rFonts w:ascii="Arial" w:cs="Arial" w:eastAsia="Arial" w:hAnsi="Arial"/>
          <w:sz w:val="18"/>
          <w:szCs w:val="18"/>
          <w:color w:val="auto"/>
        </w:rPr>
        <w:t xml:space="preserve">(collectively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Evaluation for Equity Method Investments in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Notes 1 and 10 to the consolidated financial statements, the Company’s consolidated equity method investments in affiliates balance was $2,195.6 million as of December 31, 2019. Management periodically evaluates its equity method investments in affiliates for impairment by performing assessments to determine if fair value may have declined below related carrying value for a period that they consider to be other-than-temporary. Where management believes that such decline may have occurred, they make judgments to determine the fair value of an investment and use valuation techniques, including discounted cash flow analyses that require assumptions such as growth rates of assets under management, client attrition, asset and performance based fee rates, expenses, tax benefits, tax rates and discount rates.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impairment evaluation for equity method investments in affiliates is a critical audit matter are; (i) there was significant judgment by management to evaluate the significant assumptions used in the discounted cash flow analysis to determine the fair value of the investment which was used to determine the amount that fair value had declined below its related carrying value for a period considered to be other-than-temporary, which in turn led to a high degree of auditor judgment, subjectivity and effort in performing procedures related to the growth rates of assets under management and discount rates used in the impairment evaluation, and (ii) the audit effort involved the use of professionals with specialized skill and knowledge to assist in evaluating the audit evidence obtained from these procedures.</w:t>
      </w:r>
    </w:p>
    <w:p>
      <w:pPr>
        <w:spacing w:after="0" w:line="16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evaluation for equity method investments in affiliates, including controls over the discounted cash flow analysis and significant assumptions used to determine the fair value of equity method investments in affiliates. These procedures also included, among others, testing management’s process for determining the fair value of its equity method investments in affiliates, including evaluating the appropriateness of the discounted cash flow analysis, testing the completeness and accuracy of the underlying data used in the discounted cash flow analysis, and evaluating the reasonableness of the significant assumptions used by management in developing the fair value measurement, including the growth rates of assets under management and discount rates. Evaluating the reasonableness of the growth rates of assets under management involved considering (i) the consistency with external market and industry data, (ii) the consistency with past performance of the affiliate, and (iii) whether the growth rates were consistent with evidence obtained in other areas of the audit. Professionals with specialized skill and knowledge were used to assist in the evaluation of the discount rates used to determine whether the fair value of the equity method investment had declined below its carrying value for a period considered to be other-than-temporary.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2,239.6</w:t>
            </w:r>
          </w:p>
        </w:tc>
      </w:tr>
      <w:tr>
        <w:trPr>
          <w:trHeight w:val="32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Compensation and related expenses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943.0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144.5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other amortization</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consolidated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1,618.8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method income (loss) (net)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w:t>
            </w:r>
          </w:p>
        </w:tc>
      </w:tr>
      <w:tr>
        <w:trPr>
          <w:trHeight w:val="32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38"/>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Earnings per share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net unrealized loss on investment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Acquired client relationships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in Affiliates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8,219.1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7,653.5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and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1,793.8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($0.01 par value, 153.0 shares authorized; 58.5 shares outstanding in 2018 and 2019)</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3,876.8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Less: Treasury stock, at cost (6.5 shares in 2018 and 10.4 shares in 2019)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8,219.1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7,653.5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780" w:type="dxa"/>
            <w:vAlign w:val="bottom"/>
            <w:gridSpan w:val="2"/>
            <w:vMerge w:val="continue"/>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 at</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1,073.5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$ 3,054.4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806.9</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$ 4,426.5</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1,008.7</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Shares repurchases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($0.80 per share)</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costs and other</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 equity activity:</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Affiliate equity compensation</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redemption value of Redeemable non-</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contributions and other</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$ 3,698.5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756.3</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$ 4,578.5</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243.6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288.7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Shares repurchases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($1.20 per share)</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costs and other</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 equity activity:</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Affiliate equity compensation</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redemption value of Redeemable non-</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contributions and other</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362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$ 3,876.8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(1,146.6)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677.5</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$ 4,134.9</w:t>
            </w:r>
          </w:p>
        </w:tc>
        <w:tc>
          <w:tcPr>
            <w:tcW w:w="0" w:type="dxa"/>
            <w:vAlign w:val="bottom"/>
          </w:tcPr>
          <w:p>
            <w:pPr>
              <w:spacing w:after="0"/>
              <w:rPr>
                <w:sz w:val="1"/>
                <w:szCs w:val="1"/>
                <w:color w:val="auto"/>
              </w:rPr>
            </w:pPr>
          </w:p>
        </w:tc>
      </w:tr>
      <w:tr>
        <w:trPr>
          <w:trHeight w:val="157"/>
        </w:trPr>
        <w:tc>
          <w:tcPr>
            <w:tcW w:w="3620" w:type="dxa"/>
            <w:vAlign w:val="bottom"/>
          </w:tcPr>
          <w:p>
            <w:pPr>
              <w:ind w:left="40"/>
              <w:spacing w:after="0" w:line="157" w:lineRule="exact"/>
              <w:rPr>
                <w:sz w:val="20"/>
                <w:szCs w:val="20"/>
                <w:color w:val="auto"/>
              </w:rPr>
            </w:pPr>
            <w:r>
              <w:rPr>
                <w:rFonts w:ascii="Arial" w:cs="Arial" w:eastAsia="Arial" w:hAnsi="Arial"/>
                <w:sz w:val="14"/>
                <w:szCs w:val="14"/>
                <w:color w:val="auto"/>
                <w:w w:val="97"/>
              </w:rPr>
              <w:t>Impact of adoption of new accounting standards (See Note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4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305.1</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repurchases</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219"/>
          </w:cols>
          <w:pgMar w:left="240" w:top="125" w:right="1440"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ind w:left="40"/>
              <w:spacing w:after="0"/>
              <w:rPr>
                <w:sz w:val="20"/>
                <w:szCs w:val="20"/>
                <w:color w:val="auto"/>
              </w:rPr>
            </w:pPr>
            <w:r>
              <w:rPr>
                <w:rFonts w:ascii="Arial" w:cs="Arial" w:eastAsia="Arial" w:hAnsi="Arial"/>
                <w:sz w:val="14"/>
                <w:szCs w:val="14"/>
                <w:color w:val="auto"/>
              </w:rPr>
              <w:t>Dividends ($1.28 per share)</w:t>
            </w:r>
          </w:p>
        </w:tc>
        <w:tc>
          <w:tcPr>
            <w:tcW w:w="2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(66.1)</w:t>
            </w: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and other</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Affiliate equity activity:</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compensation</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Issuances</w:t>
            </w:r>
          </w:p>
        </w:tc>
        <w:tc>
          <w:tcPr>
            <w:tcW w:w="26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157"/>
        </w:trPr>
        <w:tc>
          <w:tcPr>
            <w:tcW w:w="3640" w:type="dxa"/>
            <w:vAlign w:val="bottom"/>
          </w:tcPr>
          <w:p>
            <w:pPr>
              <w:ind w:left="180"/>
              <w:spacing w:after="0" w:line="157" w:lineRule="exact"/>
              <w:rPr>
                <w:sz w:val="20"/>
                <w:szCs w:val="20"/>
                <w:color w:val="auto"/>
              </w:rPr>
            </w:pPr>
            <w:r>
              <w:rPr>
                <w:rFonts w:ascii="Arial" w:cs="Arial" w:eastAsia="Arial" w:hAnsi="Arial"/>
                <w:sz w:val="14"/>
                <w:szCs w:val="14"/>
                <w:color w:val="auto"/>
              </w:rPr>
              <w:t>Changes in redemption value of Redeemable non-</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8"/>
        </w:trPr>
        <w:tc>
          <w:tcPr>
            <w:tcW w:w="3640" w:type="dxa"/>
            <w:vAlign w:val="bottom"/>
          </w:tcPr>
          <w:p>
            <w:pPr>
              <w:ind w:left="180"/>
              <w:spacing w:after="0"/>
              <w:rPr>
                <w:sz w:val="20"/>
                <w:szCs w:val="20"/>
                <w:color w:val="auto"/>
              </w:rPr>
            </w:pPr>
            <w:r>
              <w:rPr>
                <w:rFonts w:ascii="Arial" w:cs="Arial" w:eastAsia="Arial" w:hAnsi="Arial"/>
                <w:sz w:val="14"/>
                <w:szCs w:val="14"/>
                <w:color w:val="auto"/>
              </w:rPr>
              <w:t>controlling interests</w:t>
            </w:r>
          </w:p>
        </w:tc>
        <w:tc>
          <w:tcPr>
            <w:tcW w:w="2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(166.0)</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Capital contributions and other</w:t>
            </w:r>
          </w:p>
        </w:tc>
        <w:tc>
          <w:tcPr>
            <w:tcW w:w="26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0"/>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r>
      <w:tr>
        <w:trPr>
          <w:trHeight w:val="243"/>
        </w:trPr>
        <w:tc>
          <w:tcPr>
            <w:tcW w:w="364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707.2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$ 3,819.8</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(1,481.3)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561.6</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$ 3,499.1</w:t>
            </w:r>
          </w:p>
        </w:tc>
      </w:tr>
      <w:tr>
        <w:trPr>
          <w:trHeight w:val="20"/>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125" w:right="1440"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from (used in) operating activities: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1,008.7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532.3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305.1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cash flow from (used in) operating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Intangible amortization and impairments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other amortization</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income tax expense (benefit)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method (income) loss (net)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Distributions of earnings received from equity method investments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and Affiliate equity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Other non-cash items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Purchases of securities by consolidated Affiliate sponsored investment products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securities by consolidated Affiliate sponsored investment products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(Increase) decrease in receivables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other assets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Increase (decrease) in payables, accrued liabilities and other liabilities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1,170.4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929.1</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 from (used in) investing activities: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Affiliates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Divestments of Affiliates</w:t>
            </w: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fixed assets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Purchase of investment securities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investment securities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 from (used in) investing activities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from (used in) financing activities: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Borrowings of debt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470.7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Repurchase of common stock (net)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repurchases and issuances (net)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Subscriptions to consolidated Affiliate sponsored investment products, net of redemptions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items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 used in financing activities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foreign currency exchange rate changes on cash and cash equivalents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Effect of deconsolidation of Affiliates and Affiliate sponsored investment products</w:t>
            </w: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Income taxes paid</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liabilities paid</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Supplemental disclosure of non-cash financing activities: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Payables recorded for Affiliate equity repurchases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Payables recorded for share repurchases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issued upon vesting of restricted stock units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Stock received for tax withholdings on share-based payments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received for the exercise of stock options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8120" w:type="dxa"/>
            <w:vAlign w:val="bottom"/>
          </w:tcPr>
          <w:p>
            <w:pPr>
              <w:ind w:left="180"/>
              <w:spacing w:after="0"/>
              <w:rPr>
                <w:sz w:val="20"/>
                <w:szCs w:val="20"/>
                <w:color w:val="auto"/>
              </w:rPr>
            </w:pPr>
            <w:r>
              <w:rPr>
                <w:rFonts w:ascii="Arial" w:cs="Arial" w:eastAsia="Arial" w:hAnsi="Arial"/>
                <w:sz w:val="14"/>
                <w:szCs w:val="14"/>
                <w:color w:val="auto"/>
              </w:rPr>
              <w:t>Right-of-use assets obtained in exchange for new operating leases</w:t>
            </w: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019"/>
          </w:cols>
          <w:pgMar w:left="1440" w:top="341"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14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Affiliated Managers Group, Inc. (“AMG” or the “Company”) is a global asset management company with equity investments in high-quality boutique investment management firms, referred to as “Affiliates.” The Company’s Affiliates provide a comprehensive and diverse range of active, return-oriented strategies designed to assist institutional, retail and high net worth clients worldwide in achieving their investment objectives. The Company operates in one segment, global asset management.</w:t>
      </w:r>
    </w:p>
    <w:p>
      <w:pPr>
        <w:spacing w:after="0" w:line="24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w:t>
      </w:r>
    </w:p>
    <w:p>
      <w:pPr>
        <w:spacing w:after="0" w:line="23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a majority of Affiliates, the Company uses structured partnership interests in which the Company contractually shares in the Affiliate’s revenue without regard to expenses. In this type of structured partnership interest, the Affiliate allocates a specified percentage of its revenue to the Company and Affiliate management, while using the remainder of its revenue for operating expenses and for distributions to Affiliate management. The Company and Affiliate management, therefore, participate in any increase or decrease in revenue and only Affiliate management participates in any increase or decrease in expenses. Under these structured partnership interests, the Company’s contractual share of revenue generally has priority over distributions to Affiliate management. For other Affiliates, the Company uses structured partnership interests in which the Company contractually shares in the Affiliate’s revenue less agreed-upon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 and Use of Estimates</w:t>
      </w:r>
    </w:p>
    <w:p>
      <w:pPr>
        <w:spacing w:after="0" w:line="14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financial statements are prepared in accordance with accounting principles generally accepted in the U.S. (“GAAP”). All dollar amounts, except per share data in the text and tables herein, are stated in millions unless otherwise indicated. All intercompany balances and transactions have been eliminated. Reclassifications have been made to the prior period’s financial statements to conform to the current period’s presentation.</w:t>
      </w:r>
    </w:p>
    <w:p>
      <w:pPr>
        <w:spacing w:after="0" w:line="22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consolidates VREs when it has control over significant operating, financial and investing decisions of the entity. When the Company lacks such control, but is deemed to have significant influence, the Company accounts for the entity under the equity method. Other investments in which the Company does not have rights to exercise significant influence are recorded at fair value, with changes in fair value reflected within Investment and other income on the Consolidated Statements of Income.</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 See Note 4.</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44"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147" w:lineRule="exact"/>
        <w:rPr>
          <w:sz w:val="20"/>
          <w:szCs w:val="20"/>
          <w:color w:val="auto"/>
        </w:rPr>
      </w:pPr>
    </w:p>
    <w:p>
      <w:pPr>
        <w:ind w:right="180" w:firstLine="243"/>
        <w:spacing w:after="0" w:line="291" w:lineRule="auto"/>
        <w:rPr>
          <w:sz w:val="20"/>
          <w:szCs w:val="20"/>
          <w:color w:val="auto"/>
        </w:rPr>
      </w:pPr>
      <w:r>
        <w:rPr>
          <w:rFonts w:ascii="Arial" w:cs="Arial" w:eastAsia="Arial" w:hAnsi="Arial"/>
          <w:sz w:val="16"/>
          <w:szCs w:val="16"/>
          <w:color w:val="auto"/>
        </w:rPr>
        <w:t>When an Affiliate is consolidated, the portion of the earnings attributable to Affiliate management’s equity ownership is included in Net income (non-controlling interests) in the Consolidated Statements of Income. Undistributed earnings attributable to Affiliate managements’ equity ownership,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on the Consolidated Balance Sheets. The Company periodically issues, sells and repurchases the equity of its consolidated Affiliates. Because these transactions take place between entities under common control, any gains or losses attributable to these transactions are required to be included within Additional paid-in capital on the Consolidated Balance Sheets, net of any related income tax effects in the period the transaction occurs.</w:t>
      </w:r>
    </w:p>
    <w:p>
      <w:pPr>
        <w:spacing w:after="0" w:line="8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When an Affiliate is accounted for under the equity method, the Company’s share of an Affiliate’s earnings or losses, net of amortization and impairments, is included in Equity method income (loss) (net) in the Consolidated Statements of Income and the carrying value of the Affiliate is reported in Equity method investments in Affiliates (net) in the Consolidated Balance Sheets. Any deferred taxes recorded upon acquisition of an Affiliate accounted for under the equity method are presented on a gross basis within Equity method investments in Affiliates (net) and Deferred income tax liability (net) in the Consolidated Balance Sheets. The Company’s share of income taxes incurred directly by Affiliates accounted for under the equity method is recorded within Income tax expense in the Consolidated Statements of Income.</w:t>
      </w:r>
    </w:p>
    <w:p>
      <w:pPr>
        <w:spacing w:after="0" w:line="24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periodically performs assessments to determine if fair value may have declined below related carrying value for its Affiliates accounted for under the equity method for a period that the Company considers to be other-than temporary. Where the Company believes that such declines may have occurred, the Company determines the amount of impairment using valuation methods, such as discounted cash flow techniques. Impairments are recorded as an expense in Equity method income (loss) (net) to reduce the carrying value of the Affiliate to its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4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Company’s Affiliates sponsor various investment products where they also act as the investment adviser. These investment products are typically owned primarily by third-party investors; however, certain products are funded with general partner and seed capital investments from the Company and its Affiliates.</w:t>
      </w:r>
    </w:p>
    <w:p>
      <w:pPr>
        <w:spacing w:after="0" w:line="181"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Third-party investors in Affiliate sponsored investment products are generally entitled to substantially all of the economics of these products, except for the asset and performance based fees earned by the Company’s Affiliates or any gains or losses attributable to the Company’s or its Affiliates’ investments in these products. As a result, the Company does not generally consolidate these products unless the Company’s or its consolidated Affiliates’ interest in the product is considered substantial. When the Company’s or its consolidated Affiliates’ interests are considered substantial and the products are consolidated,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reflected in Investment and other income. Purchases and sales of securities are presented within purchases and sales by consolidated Affiliate sponsored investment products in the Consolidated Statements of Cash Flows and the third-party investors’ interest is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Receivables</w:t>
      </w:r>
    </w:p>
    <w:p>
      <w:pPr>
        <w:spacing w:after="0" w:line="14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Company’s Affiliates earn asset and performance based fees, which are billed based on the terms of the related contracts. Billed but uncollected asset and performance based fees are presented within Receivables on the Consolidated Balance Sheets and are generally short-term in nature.</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spacing w:after="0" w:line="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Investments in Marketable Securities</w:t>
      </w:r>
    </w:p>
    <w:p>
      <w:pPr>
        <w:spacing w:after="0" w:line="14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Realized and unrealized gains or losses on investments in marketable securities are reported within Investment and other income. Realized gains and losses are recorded on the trade date on a specific identified basis, except for consolidated Affiliate sponsored investment products, which use an average cost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Fair Value Measurements</w:t>
      </w:r>
    </w:p>
    <w:p>
      <w:pPr>
        <w:spacing w:after="0" w:line="22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market prices for identical instruments in active markets;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or significant value drivers, are observable; and</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Level 3 - Prices that reflect the Company’s own assumptions concerning unobservable inputs to the valuation model. In these valuation models, the Company is required to make judgments about growth rates of assets under management, client attrition, asset and performance based fee rates and expenses. These valuation models also require judgments about tax benefits, credit risk, interest rates, tax rates, discount rates and discounts for lack of marketability. These inputs require significant management judgment and reflect the Company’s assumptions that the Company believes market participants would use in pricing the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Acquired Client Relationships and Goodwill</w:t>
      </w:r>
    </w:p>
    <w:p>
      <w:pPr>
        <w:spacing w:after="0" w:line="144"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 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24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assesses these assets annually or more frequently whenever events or circumstances occur indicating that the recorded indefinite-lived acquired client relationship may be impaired. Each reporting period, the Company assesses whether events or circumstances have occurred that indicate that the indefinite life criteria are no longer met.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definite-lived assets, including investment advisory contracts between our Affiliates and their underlying investors, and are amortized over their expected period of economic benefit. The expected period of economic benefit of definite-lived acquired client relationships is a judgment based on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23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Company assesses for the possible impairment of indefinite and definite-lived acquired client relationships annually or more frequently whenever events or changes in circumstances indicate that the carrying amount of the asset may not be recoverable. If such indicators exist, the Company considers various qualitative and quantitative factors (including market multiples) to determine if the fair value of each asset is greater than its carrying value. If the carrying value is greater than the fair value, an expense would be recorded in Intangible amortization and impairments in the Consolidated Statements of Income to reduce the carrying value of the asset to fair value.</w:t>
      </w:r>
    </w:p>
    <w:p>
      <w:pPr>
        <w:spacing w:after="0" w:line="24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Goodwill is not amortized, but is instead reviewed for impairment. The Company performs an impairment assessment annually or more frequently whenever events or circumstances occur indicating that the carrying value of its single reporting unit is in excess of its fair value. In this assessment, the Company typically measures the fair value of our reporting unit using various qualitative and quantitative factors (including the Company’s market capitalization and market multiples for asset management businesses). If a potential impairment is more-likely-than-not, then the Company will perform a single step assessment with any excess of carrying value over fair value recorded as an expense in Intangible amortization and impairments.</w:t>
      </w:r>
    </w:p>
    <w:p>
      <w:pPr>
        <w:spacing w:after="0" w:line="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5"/>
          <w:szCs w:val="15"/>
          <w:i w:val="1"/>
          <w:iCs w:val="1"/>
          <w:color w:val="auto"/>
        </w:rPr>
        <w:t>Fixed Assets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Fixed assets are recorded at cost and depreciated using the straight-line method over their estimated useful lives. The estimated useful lives of office equipment and furniture and fixtures range from three years to ten years. Computer software developed or obtained for internal use is amortized over the estimated useful life of the software, generally three years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spacing w:after="0" w:line="1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4"/>
          <w:szCs w:val="14"/>
          <w:i w:val="1"/>
          <w:iCs w:val="1"/>
          <w:color w:val="auto"/>
        </w:rPr>
        <w:t>Leases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the first quarter of 2019, the Company and its consolidated Affiliates adopted Accounting Standard Update (“ASU”) 2016-02, Leases (and related ASUs), using a modified retrospective method and, as a result, recorded a lease liability of $190.8 million and after certain reclassifications, primarily related to accrued lease payments and unamortized lease incentives, a right-of-use asset of $163.6 million. Additionally, the Company elected the transition practical expedients provided by ASU 2016-02, which allowed the Company to carry forward its historical lease classification.</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Leases are classified as either operating leases or finance leases. The Company and its Affiliates currently lease office space and equipment primarily under operating lease arrangements. As these leases expire, it is expected that, in the normal course of business, they will be renewed or replaced. Whether a lease is classified as an operating lease or a finance lease, the Company and its Affiliates must record a right-of-use asset and a lease liability at the commencement date of the lease, other than for leases with an initial term of 12 months or less. As permitted under ASU 2016-02, the Company and its Affiliates elect not to record short-term leases with an initial lease term less than 12 months on the Company’s Consolidated Balance Sheets. Right-of-use assets and lease liabilities are reported in Other assets and Other liabilities, respectively, on the Consolidated Balance Sheets. A lease liability is initially and subsequently reported at the present value of the outstanding lease payments determined by discounting those lease payments over the remaining lease term using the incremental borrowing rate of the legal entity entering into the lease as of the commencement date. A right-of-use asset is initially reported at the present value of the corresponding lease liability plus any prepaid lease payments and initial direct costs of entering into the lease, and reduced by any lease incentives. Subsequently, a right-of-use asset is reported at the present value of the lease liability adjusted for any prepaid or accrued lease payments, remaining balances of any lease incentives received, unamortized initial direct costs of entering into the lease and any impairments of the right-of-use asset. The Company and its Affiliates test for possible impairments of right-of-use assets annually or more frequently whenever events or changes in circumstances indicate that the carrying value of a right-of-use asset may exceed its fair value. If the carrying value of the right-of-use asset exceeds its fair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value, then the carrying value of the right-of-use asset is reduced to its fair value and the expense is recorded in Other expenses (net) on the Consolidated Statements of Income. Subsequent to an impairment, the carrying value of the right-of-use asset is amortized on a straight-line basis over the remaining lease term.</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Lease liabilities and right-of-use assets based on variable lease payments that depend on an index or rate are initially measured using the index or rate at the commencement date with any subsequent changes in variable lease payments reported in Other expenses (net) as incurred. 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Other expenses (net). If a right-of-use asset is impaired, the lease expense is subsequently reported in Other expenses (net) as the straight-line amortization of the right-of-use asset and the accretion of the lease liability, thereby transitioning to a front-loaded expense recognition profile for the associated lease.</w:t>
      </w:r>
    </w:p>
    <w:p>
      <w:pPr>
        <w:spacing w:after="0" w:line="17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and its Affiliates combine lease and non-lease components for their office space leases and separate non-lease components for their equipment leases in calculating their lease liabilities. Sublease income is reported in Investment and other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Issuance Costs</w:t>
      </w:r>
    </w:p>
    <w:p>
      <w:pPr>
        <w:spacing w:after="0" w:line="144"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Issuance costs related to the Company’s senior bank debt are amortized over the remaining term of the senior unsecured multicurrency revolving credit facility (the “revolver”) and the senior unsecured term loan facility (the “term loan” and, together with the revolver, the “credit facilities”), which approximates the effective interest method. Issuance costs associated with the revolver are included in Other assets. Issuance costs associated with the term loan are included as a reduction of the related debt balance. Issuance costs associated with the Company’s senior notes, junior subordinated notes and junior convertible securities are amortized over the expected term of the security, and are included as a reduction of Debt in the Consolidated Balance Sheets. The expense resulting from the amortization of these issuance costs is reported in Interest expense in the Consolidated Statements of Income.</w:t>
      </w:r>
    </w:p>
    <w:p>
      <w:pPr>
        <w:spacing w:after="0" w:line="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(l)</w:t>
      </w:r>
      <w:r>
        <w:rPr>
          <w:sz w:val="20"/>
          <w:szCs w:val="20"/>
          <w:color w:val="auto"/>
        </w:rPr>
        <w:tab/>
      </w:r>
      <w:r>
        <w:rPr>
          <w:rFonts w:ascii="Arial" w:cs="Arial" w:eastAsia="Arial" w:hAnsi="Arial"/>
          <w:sz w:val="16"/>
          <w:szCs w:val="16"/>
          <w:i w:val="1"/>
          <w:iCs w:val="1"/>
          <w:color w:val="auto"/>
        </w:rPr>
        <w:t>Derivative Financial Instruments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 The Company records derivatives in the Consolidated Balance Sheets at fair value. If the Company’s or its Affiliates’ derivative financial instruments do not qualify as cash flow, net investment or fair value hedges, changes in the fair value of the derivatives are recorded as a gain or loss in Investment and other income.</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Company’s or its Affiliates’ derivative financial instruments qualify as cash flow or net investment hedges, the effective portion of the unrealized gain or loss is recorded in Other comprehensive income (loss) as a separate component of stockholders’ equity and reclassified to earnings with the hedged item. For cash flow hedges, hedge effectiveness is generally measured by comparing the present value of the cumulative change in the expected future cash flows of the hedged contract with the present value of the cumulative change in the expected future cash flows of the hedged item. For net investment hedges, hedge effectiveness is measured using the spot rate method. For fair value hedges, the entire change in the fair value of the hedging instrument is presented in earnings with the hedged item, unless the changes in fair value are not equal, which would result in hedge ineffectiveness which is presented in Investment and other income. Changes in the fair values of the effective net investment hedges are reported in Foreign currency translation gain (loss) in the Consolidated Statements of Comprehensive Income. The Company assesses hedge effectiveness on a quarterly basis.</w:t>
      </w:r>
    </w:p>
    <w:p>
      <w:pPr>
        <w:spacing w:after="0" w:line="166"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Changes in fair value of a hedging instrument that are excluded from the assessment of hedge effectiveness, also known as excluded components, are recorded in earnings and amortized on a straight-line basis over the respective period of the contracts as a reduction to Interest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Revenue Recognition</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Consolidated revenue primarily represents asset and performance based fees earned by the Company and its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 based fees ratably over time. Substantially all the Company’s asset based fees for services are based on the value of client assets over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time, which are typically determined using observable market data. Services may be invoiced in advance or in arrears and are payable upon receipt. Any asset based fees collected in advance are deferred and recognized as the services are performed and consumed. Consolidated revenue recognized by the Company is adjusted for any expense reimbursement arrangements.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Performance based fees, including carried interests, are recognized only upon the satisfaction of performance obligations, the resolution of any constraints, which include exceeding performance benchmarks or hurdle rates that may extend over one or more reporting periods, and when it is improbable that there will be a significant reversal in the amount of revenue recognized. As a result, any performance based fees or carried interest recognized in the current reporting period may relate to performance obligations satisfied in a previous reporting period.</w:t>
      </w:r>
    </w:p>
    <w:p>
      <w:pPr>
        <w:spacing w:after="0" w:line="18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and its Affiliates have contractual arrangements with third parties to provide distribution-related services. Fees received and expenses incurred under these arrangements are primarily based on the value of client assets over time. Distribution-related fees are presented in Consolidated revenue gross of any related expenses when the Company and its Affiliates are the principal in their role as primary obligor under their distribution-related services arrangements. Distribution-related expenses are presented within Selling, general and administrative expenses in the Consolidated Statements of Income.</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Arrangements</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periodically enters into contingent payment arrangements in connection with its investments in Affiliates. In these arrangements, the Company agrees to pay additional consideration to the sellers to the extent that certain specified financial targets are achieved. For consolidated Affiliates, the Company estimates the fair value of these potential future obligations at the time the investment in an Affiliate is consummated and records a liability in Other liabilities.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reflected in Other expenses (net) and the accretion of these obligations to their expected payment amounts are reflected within Interest expense. For Affiliates accounted for under the equity method of accounting, the Company records a liability in Payables and accrued liabilities when a payment becomes probable, with a corresponding increase to the carrying value of the Affiliate in Equity method investments in Affiliates (net).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recorded in Income tax expense in the period when the change is enacted.</w:t>
      </w:r>
    </w:p>
    <w:p>
      <w:pPr>
        <w:spacing w:after="0" w:line="11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The recording of adjustments to the valuation allowance will increase or decrease Income tax expense.</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has elected to treat taxes due on U.S. inclusions in taxable income related to Global Intangible Low Taxed Income (“GILTI”) as a current period expense when incurred (the “period cost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14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as a separate component of stockholders’ equity on the Consolidated Balance Sheets. Foreign currency transaction gains and losses are reflected in Investment and other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Concentration of Credit Risk</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exceed Federal Deposit Insurance Corporation insurance limits.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Earnings Per Share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had junior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Share-Based Compensation Plans</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Company recognizes expenses for all share-based compensation arrangements based on the number of awards expected to vest. The expense for awards without performance conditions is recognized on a straight-line basis over the requisite service period, including grants that are subject to graded vesting. The Company recognizes expenses for all other arrangements on a straight-line basis for each separately vesting portion of the award.</w:t>
      </w:r>
    </w:p>
    <w:p>
      <w:pPr>
        <w:spacing w:after="0" w:line="66"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Tax windfalls or shortfalls are recorded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w:t>
      </w:r>
    </w:p>
    <w:p>
      <w:pPr>
        <w:spacing w:after="0" w:line="10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Recent Accounting Developments</w:t>
      </w:r>
    </w:p>
    <w:p>
      <w:pPr>
        <w:spacing w:after="0" w:line="225"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color w:val="auto"/>
        </w:rPr>
        <w:t>Effective January 1, 2019, the Company adopted the following ASUs:</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ASU 2016-02, Leases (and related ASUs);</w:t>
      </w:r>
    </w:p>
    <w:p>
      <w:pPr>
        <w:spacing w:after="0" w:line="23" w:lineRule="exact"/>
        <w:rPr>
          <w:rFonts w:ascii="Arial" w:cs="Arial" w:eastAsia="Arial" w:hAnsi="Arial"/>
          <w:sz w:val="18"/>
          <w:szCs w:val="18"/>
          <w:color w:val="auto"/>
        </w:rPr>
      </w:pPr>
    </w:p>
    <w:p>
      <w:pPr>
        <w:ind w:left="660" w:right="960" w:hanging="328"/>
        <w:spacing w:after="0" w:line="250"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ASU 2018-02, Income Statement - Reporting Comprehensive Income: Reclassification of Certain Tax Effects from Accumulated Other Comprehensive Income; and</w:t>
      </w:r>
    </w:p>
    <w:p>
      <w:pPr>
        <w:ind w:left="660" w:right="240" w:hanging="328"/>
        <w:spacing w:after="0" w:line="261"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ASU 2014-09, Revenue from Contracts with Customers (and related ASUs, effective for the Company’s Affiliates accounted for under the equity method)</w:t>
      </w:r>
    </w:p>
    <w:p>
      <w:pPr>
        <w:spacing w:after="0" w:line="18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the Company and its consolidated Affiliates adopted ASU 2016-02 (and related ASUs) on January 1, 2019, the standard is effective for the Company’s equity method Affiliates for interim and annual periods beginning after December 15,</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2020. The Company does not expect the adoption of this standard by its equity method investments to have a significant impact to its Consolidated Financial Statements.</w:t>
      </w:r>
    </w:p>
    <w:p>
      <w:pPr>
        <w:spacing w:after="0" w:line="8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cost, gross unrealized gains, unrealized losses and fair value of Investments in marketable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Unrealized gains</w:t>
            </w: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years ended December 31, 2018 and 2019, the Company received proceeds of $81.4 million and $38.0 million, respectively, from the sale of investments in marketable securities and recorded net gains of $6.9 million and $1.1 million, respectively.</w:t>
      </w:r>
    </w:p>
    <w:p>
      <w:pPr>
        <w:spacing w:after="0" w:line="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2018 and 2019, Investments in marketable securities includes consolidated Affiliate sponsored investment products with fair values of $105.1 million and $38.1 million, respectively.</w:t>
      </w:r>
    </w:p>
    <w:p>
      <w:pPr>
        <w:spacing w:after="0" w:line="8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48"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Other investments consist of investments in funds advised by the Company’s Affiliates that are carried at net asset value (“NAV”) as a practical expedient. The income or loss related to these investments is recorded in Investment and other income. See Note 8.</w:t>
      </w:r>
    </w:p>
    <w:p>
      <w:pPr>
        <w:spacing w:after="0" w:line="8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and Affiliate Sponsored Investment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Affiliates are consolidated or accounted for under the equity method, depending upon the underlying structure of and relationship with each Affiliate.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Substantially all of the Company’s consolidated Affiliates are considered VIEs. The unconsolidated assets, net of liabilities and non-controlling interests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Affiliates accounted for under the equity method considered VIEs, and the Company’s carrying value and maximum exposure to loss,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62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620" w:type="dxa"/>
            <w:vAlign w:val="bottom"/>
          </w:tcPr>
          <w:p>
            <w:pPr>
              <w:jc w:val="center"/>
              <w:ind w:right="12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accounted for under the equity method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2,277.8</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1,141.4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1,843.0</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December 31, 2018 and 2019, the carrying value and maximum exposure to loss for all of the Company’s Affiliates accounted for under the equity method was $2,791.0 million and $2,195.6 million, respectively, including Affiliates accounted for under the equity method considered VREs of $513.2 million and $352.6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Company’s carrying value, and maximum exposure to loss from unconsolidated Affiliate sponsored investment products, is its or its consolidated Affiliate’s interest in the unconsolidated net assets of the respective products. The net assets of unconsolidated VIEs attributable to Affiliate sponsored investment products, and the Company’s carrying value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maximum exposure to loss,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62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620" w:type="dxa"/>
            <w:vAlign w:val="bottom"/>
          </w:tcPr>
          <w:p>
            <w:pPr>
              <w:jc w:val="center"/>
              <w:ind w:right="12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sponsored investment products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2,216.5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2,282.1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Senior bank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449.7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Junior convertible securities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310.6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289.7</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1,793.8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Long-term debt is carried at amortized cost. Unamortized discounts and debt issuance costs related to long-term debt are presented in the Consolidated Balance Sheets as an adjustment to the carrying value of the associated long-term debt. As of December 31, 2019, Debt with a par value of $450.0 million and $400.0 million matures in 2023 and 2024,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Bank Debt</w:t>
      </w:r>
    </w:p>
    <w:p>
      <w:pPr>
        <w:spacing w:after="0" w:line="2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2019, the Company amended and restated its existing credit facilities to provide for a $1.25 billion senior unsecured multicurrency revolving credit facility and a $450.0 million senior unsecured term loan facility. The revolver matures on January 18, 2024, and the term loan matures on January 18, 2023. Subject to certain conditions, the Company may increase the commitments under the revolver by up to an additional $500.0 million and may borrow up to an additional $75.0 million under the term loan. The Company pays interest on any outstanding obligations under the credit facilities at specified rates, based either on an applicable LIBOR or prime rate, plus a marginal rate determined based on its credit rating. As of December 31, 2019, the interest rate for the Company’s outstanding borrowings under the credit facilities was LIBOR plus 0.875%.</w:t>
      </w:r>
    </w:p>
    <w:p>
      <w:pPr>
        <w:spacing w:after="0" w:line="233"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spacing w:after="0" w:line="17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As of December 31, 2018, the Company had outstanding borrowings under the revolver of $330.0 million, and the weighted-average interest rate on outstanding borrowings was 3.92%. As of December 31, 2019, the Company had no outstanding borrowings under the revolver. As of December 31, 2018 and 2019, the Company had outstanding borrowings under the term loan of $450.0 million, and the weighted-average interest rate on outstanding borrowings was 3.33% and 2.66%, respectively. The Company pays commitment fees on the unused portion of its revolver. For the years ended December 31, 2018 and 2019, these fees amounted to $1.6 million and $1.5 million,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and Junior Subordinated Notes</w:t>
      </w:r>
    </w:p>
    <w:p>
      <w:pPr>
        <w:spacing w:after="0" w:line="144" w:lineRule="exact"/>
        <w:rPr>
          <w:sz w:val="20"/>
          <w:szCs w:val="20"/>
          <w:color w:val="auto"/>
        </w:rPr>
      </w:pPr>
    </w:p>
    <w:p>
      <w:pPr>
        <w:ind w:right="300" w:firstLine="324"/>
        <w:spacing w:after="0" w:line="272" w:lineRule="auto"/>
        <w:rPr>
          <w:sz w:val="20"/>
          <w:szCs w:val="20"/>
          <w:color w:val="auto"/>
        </w:rPr>
      </w:pPr>
      <w:r>
        <w:rPr>
          <w:rFonts w:ascii="Arial" w:cs="Arial" w:eastAsia="Arial" w:hAnsi="Arial"/>
          <w:sz w:val="18"/>
          <w:szCs w:val="18"/>
          <w:color w:val="auto"/>
        </w:rPr>
        <w:t>As of December 31, 2019, the Company had senior notes and junior subordinated notes outstanding. The carrying value of the senior notes and junior subordinated notes is accreted to the principal amount at maturity over the remaining life of the underlying instrument.</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senior notes and junior subordinated notes were as follows: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2059</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Junior Subordinated</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Senior Notes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February 2014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February 2015</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February 2024</w:t>
            </w:r>
          </w:p>
        </w:tc>
        <w:tc>
          <w:tcPr>
            <w:tcW w:w="20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August 2025</w:t>
            </w:r>
          </w:p>
        </w:tc>
        <w:tc>
          <w:tcPr>
            <w:tcW w:w="14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March 2059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 value (in millions)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Stated coupon</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94"/>
              </w:rPr>
              <w:t>5.875%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Coupon frequency</w:t>
            </w:r>
          </w:p>
        </w:tc>
        <w:tc>
          <w:tcPr>
            <w:tcW w:w="2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Semi-annually</w:t>
            </w:r>
          </w:p>
        </w:tc>
        <w:tc>
          <w:tcPr>
            <w:tcW w:w="2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Semi-annually</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Quarterly</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62"/>
        </w:trPr>
        <w:tc>
          <w:tcPr>
            <w:tcW w:w="6580" w:type="dxa"/>
            <w:vAlign w:val="bottom"/>
          </w:tcPr>
          <w:p>
            <w:pPr>
              <w:ind w:left="40"/>
              <w:spacing w:after="0"/>
              <w:rPr>
                <w:sz w:val="20"/>
                <w:szCs w:val="20"/>
                <w:color w:val="auto"/>
              </w:rPr>
            </w:pPr>
            <w:r>
              <w:rPr>
                <w:rFonts w:ascii="Arial" w:cs="Arial" w:eastAsia="Arial" w:hAnsi="Arial"/>
                <w:sz w:val="18"/>
                <w:szCs w:val="18"/>
                <w:color w:val="auto"/>
              </w:rPr>
              <w:t>Potential call date</w:t>
            </w:r>
          </w:p>
        </w:tc>
        <w:tc>
          <w:tcPr>
            <w:tcW w:w="200" w:type="dxa"/>
            <w:vAlign w:val="bottom"/>
          </w:tcPr>
          <w:p>
            <w:pPr>
              <w:spacing w:after="0"/>
              <w:rPr>
                <w:sz w:val="22"/>
                <w:szCs w:val="22"/>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Any time</w:t>
            </w:r>
            <w:r>
              <w:rPr>
                <w:rFonts w:ascii="Arial" w:cs="Arial" w:eastAsia="Arial" w:hAnsi="Arial"/>
                <w:sz w:val="18"/>
                <w:szCs w:val="18"/>
                <w:color w:val="auto"/>
                <w:vertAlign w:val="superscript"/>
              </w:rPr>
              <w:t>(1)</w:t>
            </w:r>
          </w:p>
        </w:tc>
        <w:tc>
          <w:tcPr>
            <w:tcW w:w="200" w:type="dxa"/>
            <w:vAlign w:val="bottom"/>
          </w:tcPr>
          <w:p>
            <w:pPr>
              <w:spacing w:after="0"/>
              <w:rPr>
                <w:sz w:val="22"/>
                <w:szCs w:val="2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Any time</w:t>
            </w:r>
            <w:r>
              <w:rPr>
                <w:rFonts w:ascii="Arial" w:cs="Arial" w:eastAsia="Arial" w:hAnsi="Arial"/>
                <w:sz w:val="18"/>
                <w:szCs w:val="18"/>
                <w:color w:val="auto"/>
                <w:vertAlign w:val="superscript"/>
              </w:rPr>
              <w:t>(1)</w:t>
            </w:r>
          </w:p>
        </w:tc>
        <w:tc>
          <w:tcPr>
            <w:tcW w:w="140" w:type="dxa"/>
            <w:vAlign w:val="bottom"/>
          </w:tcPr>
          <w:p>
            <w:pPr>
              <w:spacing w:after="0"/>
              <w:rPr>
                <w:sz w:val="22"/>
                <w:szCs w:val="22"/>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March 2024</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Call price</w:t>
            </w:r>
          </w:p>
        </w:tc>
        <w:tc>
          <w:tcPr>
            <w:tcW w:w="2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As defined</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As defined</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As defined</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Listing</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91"/>
        </w:trPr>
        <w:tc>
          <w:tcPr>
            <w:tcW w:w="658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right="100" w:hanging="332"/>
        <w:spacing w:after="0" w:line="259" w:lineRule="auto"/>
        <w:tabs>
          <w:tab w:leader="none" w:pos="340" w:val="left"/>
        </w:tabs>
        <w:numPr>
          <w:ilvl w:val="0"/>
          <w:numId w:val="26"/>
        </w:numPr>
        <w:rPr>
          <w:rFonts w:ascii="Arial" w:cs="Arial" w:eastAsia="Arial" w:hAnsi="Arial"/>
          <w:sz w:val="18"/>
          <w:szCs w:val="18"/>
          <w:color w:val="auto"/>
          <w:vertAlign w:val="superscript"/>
        </w:rPr>
      </w:pPr>
      <w:r>
        <w:rPr>
          <w:rFonts w:ascii="Arial" w:cs="Arial" w:eastAsia="Arial" w:hAnsi="Arial"/>
          <w:sz w:val="18"/>
          <w:szCs w:val="18"/>
          <w:color w:val="auto"/>
        </w:rPr>
        <w:t>The senior notes may be redeemed at any time, in whole or in part,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w:t>
      </w:r>
    </w:p>
    <w:p>
      <w:pPr>
        <w:spacing w:after="0" w:line="186" w:lineRule="exact"/>
        <w:rPr>
          <w:rFonts w:ascii="Arial" w:cs="Arial" w:eastAsia="Arial" w:hAnsi="Arial"/>
          <w:sz w:val="18"/>
          <w:szCs w:val="18"/>
          <w:color w:val="auto"/>
          <w:vertAlign w:val="superscript"/>
        </w:rPr>
      </w:pPr>
    </w:p>
    <w:p>
      <w:pPr>
        <w:ind w:left="340" w:right="20" w:hanging="332"/>
        <w:spacing w:after="0" w:line="257" w:lineRule="auto"/>
        <w:tabs>
          <w:tab w:leader="none" w:pos="340" w:val="left"/>
        </w:tabs>
        <w:numPr>
          <w:ilvl w:val="0"/>
          <w:numId w:val="26"/>
        </w:numPr>
        <w:rPr>
          <w:rFonts w:ascii="Arial" w:cs="Arial" w:eastAsia="Arial" w:hAnsi="Arial"/>
          <w:sz w:val="18"/>
          <w:szCs w:val="18"/>
          <w:color w:val="auto"/>
          <w:vertAlign w:val="superscript"/>
        </w:rPr>
      </w:pPr>
      <w:r>
        <w:rPr>
          <w:rFonts w:ascii="Arial" w:cs="Arial" w:eastAsia="Arial" w:hAnsi="Arial"/>
          <w:sz w:val="18"/>
          <w:szCs w:val="18"/>
          <w:color w:val="auto"/>
        </w:rPr>
        <w:t>The junior subordinated notes may be redeemed at any time, in whole or in part, on or after March 30, 2024, at 100% of the principal amount of the notes being redeemed plus any accrued and unpaid interest thereon. Prior to March 30, 2024, the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junior subordinated notes.</w:t>
      </w:r>
    </w:p>
    <w:p>
      <w:pPr>
        <w:spacing w:after="0" w:line="188" w:lineRule="exact"/>
        <w:rPr>
          <w:rFonts w:ascii="Arial" w:cs="Arial" w:eastAsia="Arial" w:hAnsi="Arial"/>
          <w:sz w:val="18"/>
          <w:szCs w:val="18"/>
          <w:color w:val="auto"/>
          <w:vertAlign w:val="superscript"/>
        </w:rPr>
      </w:pPr>
    </w:p>
    <w:p>
      <w:pPr>
        <w:ind w:left="340" w:right="80" w:hanging="332"/>
        <w:spacing w:after="0" w:line="277" w:lineRule="auto"/>
        <w:tabs>
          <w:tab w:leader="none" w:pos="340" w:val="left"/>
        </w:tabs>
        <w:numPr>
          <w:ilvl w:val="0"/>
          <w:numId w:val="26"/>
        </w:numPr>
        <w:rPr>
          <w:rFonts w:ascii="Arial" w:cs="Arial" w:eastAsia="Arial" w:hAnsi="Arial"/>
          <w:sz w:val="18"/>
          <w:szCs w:val="18"/>
          <w:color w:val="auto"/>
          <w:vertAlign w:val="superscript"/>
        </w:rPr>
      </w:pPr>
      <w:r>
        <w:rPr>
          <w:rFonts w:ascii="Arial" w:cs="Arial" w:eastAsia="Arial" w:hAnsi="Arial"/>
          <w:sz w:val="18"/>
          <w:szCs w:val="18"/>
          <w:color w:val="auto"/>
        </w:rPr>
        <w:t>The Company may, at its option, and subject to certain conditions and restrictions, defer interest payments subject to the terms of the junior subordinated notes.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2019, the effective interest rates of the 2024 senior notes, the 2025 senior notes and the 2059 junior subordinated notes were 4.42%, 3.66% and 5.96%,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Junior Convertible Securities</w:t>
      </w:r>
    </w:p>
    <w:p>
      <w:pPr>
        <w:spacing w:after="0" w:line="2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Company’s junior convertible trust preferred securities outstanding (the “junior convertible securities”). The carrying value and principal amount at maturity of the junior convertible securities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124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6"/>
              </w:rPr>
              <w:t>Principal Amount</w:t>
            </w:r>
          </w:p>
        </w:tc>
      </w:t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 Maturity</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at Maturity</w:t>
            </w:r>
          </w:p>
        </w:tc>
      </w:tr>
      <w:tr>
        <w:trPr>
          <w:trHeight w:val="268"/>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convertible securities</w:t>
            </w:r>
            <w:r>
              <w:rPr>
                <w:rFonts w:ascii="Arial" w:cs="Arial" w:eastAsia="Arial" w:hAnsi="Arial"/>
                <w:sz w:val="18"/>
                <w:szCs w:val="18"/>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312.5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430.8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315.4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430.8</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8"/>
          <w:szCs w:val="18"/>
          <w:color w:val="auto"/>
        </w:rPr>
        <w:t>The carrying value is accreted to the principal amount at maturity over a remaining life of 18 years.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junior convertible securities bear interest at a rate of 5.15% per annum, payable quarterly in cash. Holders of the junior convertible securities have no rights to put these securities to the Company. Upon conversion, holders will receive cash or shares of common stock, or a combination thereof, at the Company’s election. The junior convertible securities are considered contingent payment debt instruments under federal income tax regulations, which require the Company to deduct interest in an amount greater than its reported interest expense. These deductions will generate annual deferred tax liabilities of $8.4 million. These deferred tax liabilities will be reclassified directly to stockholders’ equity if the Company’s common stock is trading above certain thresholds at the time of the conversion of the securities. In August 2019, in accordance with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convertible securities indenture, the Company adjusted the conversion rate of the junior convertible securities to 0.2558 shares of common stock per $50.00 junior convertible security, equivalent to an adjusted conversion price of $195.47 per share of common stock. The adjustment was the result of the Company’s cumulative declared dividends on its common stock since the prior adjustment. The Company may redeem the junior convertible securities if the closing price of its common stock exceeds $254.10 per share for 20 trading days in a period of 30 consecutive trading days.</w:t>
      </w:r>
    </w:p>
    <w:p>
      <w:pPr>
        <w:spacing w:after="0" w:line="8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4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2018, the Company entered into two separate pound sterling-denominated forward foreign currency contracts (the “forward contracts”) with a large financial institution (the “counterparty”). Concurrent to entering into each of the forward contracts, the Company also entered into two separate collar contracts (the “collar contracts”) with the same counterparty for the same notional amounts and expiration dates as each of the forward contracts. Under one of the forward contracts, the Company will deliver £325.3 million for $450.0 million in June 2021 and under the other forward contract, the Company will deliver £285.8 million for $400.0 million in February 2024. Under the collar contract expiring in 2021, the Company sold a put option with a lower strike price of 1.318 U.S. dollars per one pound sterling and purchased a call option with an upper strike price of 1.448 U.S. dollars per one pound sterling. Under the collar contract expiring in 2024, the Company sold a put option with a lower strike price of 1.288 U.S. dollars per one pound sterling and purchased a call option with an upper strike price of 1.535 U.S. dollars per one pound sterling.</w:t>
      </w:r>
    </w:p>
    <w:p>
      <w:pPr>
        <w:spacing w:after="0" w:line="17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combinations of the forward contracts and the collar contracts were designated as net investment hedges against fluctuations in foreign currency exchange rates on certain of the Company’s investments in Affiliates with the pound sterling as their functional currency.</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Changes in the fair values of the effective net investment hedges are reported in Foreign currency translation gain (loss) in the Consolidated Statements of Comprehensive Income. The Company assesses hedge effectiveness on a quarterly basis.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of the Company’s Affiliates use forward foreign currency contracts to hedge the risk of foreign currency exchange rate movements, which were not significant for the years ended December 31, 2018 and 2019,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and its Affiliates’ derivative financial instruments measured at fair value on a recurring basis: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5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w:t>
            </w:r>
          </w:p>
        </w:tc>
        <w:tc>
          <w:tcPr>
            <w:tcW w:w="92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Put options</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66.1</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forward contracts and collar contracts with the counterparty are governed by an International Swaps and Derivative Association Master Agreement, which provides for legally enforceable rights to set-off. Given the contracts include this set-off right, the Company’s forward contracts and collar contracts were presented on a net basis in Other assets and were $4.9 million and $5.6 million, as of December 31, 2018 and 2019, respectively. Certain of the Company’s consolidated Affiliates have entered into contracts that do not have set-off rights and are, therefore, presented on a gross basis in Other assets and Other liabilities and were $0.9 million and $1.4 million, respectively, as of December 31, 2018, and $2.2 million and $1.0 million, respectively, as of December 31, 2019.</w:t>
      </w:r>
    </w:p>
    <w:p>
      <w:pPr>
        <w:spacing w:after="0" w:line="11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following table summarizes the effect of the derivative financial instruments on the Consolidated Statements of Comprehensive Income and the Consolidated Statements of Income. For the year ended December 31, 2017, the Company and its Affiliates did not have any significant derivative financial instruments.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For the Year Ended December 31,</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Loss Reclassified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Gain Reclassified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Gain (Loss) Recorded</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Gain Recorded in</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120" w:type="dxa"/>
            <w:vAlign w:val="bottom"/>
          </w:tcPr>
          <w:p>
            <w:pPr>
              <w:spacing w:after="0"/>
              <w:rPr>
                <w:sz w:val="12"/>
                <w:szCs w:val="12"/>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Gain Recorded in</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from Accumulated</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in Other</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Earnings from</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Recorded in Other</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Earnings from</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Excluded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Income into</w:t>
            </w:r>
          </w:p>
        </w:tc>
        <w:tc>
          <w:tcPr>
            <w:tcW w:w="120" w:type="dxa"/>
            <w:vAlign w:val="bottom"/>
          </w:tcPr>
          <w:p>
            <w:pPr>
              <w:spacing w:after="0"/>
              <w:rPr>
                <w:sz w:val="12"/>
                <w:szCs w:val="12"/>
                <w:color w:val="auto"/>
              </w:rPr>
            </w:pPr>
          </w:p>
        </w:tc>
        <w:tc>
          <w:tcPr>
            <w:tcW w:w="12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into Earnings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Components</w:t>
            </w:r>
            <w:r>
              <w:rPr>
                <w:rFonts w:ascii="Arial" w:cs="Arial" w:eastAsia="Arial" w:hAnsi="Arial"/>
                <w:sz w:val="8"/>
                <w:szCs w:val="8"/>
                <w:b w:val="1"/>
                <w:bCs w:val="1"/>
                <w:color w:val="auto"/>
                <w:w w:val="92"/>
              </w:rPr>
              <w:t>(1)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Components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Put options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60" w:hanging="332"/>
        <w:spacing w:after="0" w:line="308" w:lineRule="auto"/>
        <w:tabs>
          <w:tab w:leader="none" w:pos="152" w:val="left"/>
        </w:tabs>
        <w:numPr>
          <w:ilvl w:val="0"/>
          <w:numId w:val="29"/>
        </w:numPr>
        <w:rPr>
          <w:rFonts w:ascii="Arial" w:cs="Arial" w:eastAsia="Arial" w:hAnsi="Arial"/>
          <w:sz w:val="17"/>
          <w:szCs w:val="17"/>
          <w:color w:val="auto"/>
          <w:vertAlign w:val="superscript"/>
        </w:rPr>
      </w:pPr>
      <w:r>
        <w:rPr>
          <w:rFonts w:ascii="Arial" w:cs="Arial" w:eastAsia="Arial" w:hAnsi="Arial"/>
          <w:sz w:val="17"/>
          <w:szCs w:val="17"/>
          <w:color w:val="auto"/>
        </w:rPr>
        <w:t>The excluded components of the forward contracts are recorded in earnings on a straight-line basis over the respective period of the contracts as a reduction to Interest expense.</w:t>
      </w:r>
    </w:p>
    <w:p>
      <w:pPr>
        <w:spacing w:after="0" w:line="106" w:lineRule="exact"/>
        <w:rPr>
          <w:sz w:val="20"/>
          <w:szCs w:val="20"/>
          <w:color w:val="auto"/>
        </w:rPr>
      </w:pPr>
    </w:p>
    <w:p>
      <w:pPr>
        <w:ind w:right="720" w:firstLine="324"/>
        <w:spacing w:after="0" w:line="312" w:lineRule="auto"/>
        <w:rPr>
          <w:sz w:val="20"/>
          <w:szCs w:val="20"/>
          <w:color w:val="auto"/>
        </w:rPr>
      </w:pPr>
      <w:r>
        <w:rPr>
          <w:rFonts w:ascii="Arial" w:cs="Arial" w:eastAsia="Arial" w:hAnsi="Arial"/>
          <w:sz w:val="16"/>
          <w:szCs w:val="16"/>
          <w:color w:val="auto"/>
        </w:rPr>
        <w:t>The terms of the Company’s forward contracts and collar contracts require the Company and the counterparty to post cash collateral in certain circumstances throughout the duration of the contracts. As of December 31, 2018 and 2019, the Company held $3.1 million and $8.7 million of cash collateral from the counterparty, respectively, and the counterparty held $28.0 million and no cash collateral from the Company, respectively.</w:t>
      </w:r>
    </w:p>
    <w:p>
      <w:pPr>
        <w:spacing w:after="0" w:line="14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Company also actively monitors its counterparty credit risk related to derivative financial instruments. The Company’s derivative contracts include provisions to protect against counterparty rating downgrades, which, in certain cases, may give the Company a termination right. The Company considers set-off rights and counterparty credit risk in the valuation of its positions and recognizes a credit valuation adjustment as appropriate. The Company’s forward contracts and collar contracts include contingent features that could give rise to termination rights, if certain specified rating downgrades were to occur. As of December 31, 2019, there were no derivative arrangements with a contingent feature that were in a net liability position.</w:t>
      </w:r>
    </w:p>
    <w:p>
      <w:pPr>
        <w:spacing w:after="0" w:line="7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24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has committed to co-invest in certain Affiliate sponsored investment products. As of December 31, 2019, these unfunded commitments were $127.2 million and may be called in future periods.</w:t>
      </w:r>
    </w:p>
    <w:p>
      <w:pPr>
        <w:spacing w:after="0" w:line="224"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As of December 31, 2019, the Company was contingently liable to make payments of $150.0 million through 2021 and $40.0 million through 2022, related to the achievement of specified financial targets by certain of its Affiliates accounted for under the equity method. As of December 31, 2019, the Company expected to make payments of approximately $25 million. The Company expected to make no payments in 2020.</w:t>
      </w:r>
    </w:p>
    <w:p>
      <w:pPr>
        <w:spacing w:after="0" w:line="22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Affiliate equity interests provide holders with a conditional right to put their interests to the Company over time. See Note 18. In connection with one of the Company’s investments in an Affiliate, a minority owner has the right to elect to sell a portion of its ownership interest in the Affiliate to the Company annually. In the fourth quarter of 2019, the Company was notified by the minority owner that it had elected to sell a 5% ownership interest in the Affiliate to the Company. The transaction is expected to be completed during the first half of 2020; however, the Company cannot currently predict the amount that may be paid to settle this commitment. If the Company acquires the minority owner’s interest, it will continue to account for the Affiliate under the equity method.</w:t>
      </w:r>
    </w:p>
    <w:p>
      <w:pPr>
        <w:spacing w:after="0" w:line="2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and certain of its consolidated Affiliates operate under regulatory authorities that require the maintenance of minimum financial or capital requirements. Management is not aware of any significant violations of such requirements.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Company’s financial assets and liabilities that are measured at fair value on a recurring basis: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Investments in marketable securities</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119.3</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119.3</w:t>
            </w:r>
          </w:p>
        </w:tc>
        <w:tc>
          <w:tcPr>
            <w:tcW w:w="4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shd w:val="clear" w:color="auto" w:fill="CCEEFF"/>
          </w:tcPr>
          <w:p>
            <w:pPr>
              <w:spacing w:after="0"/>
              <w:rPr>
                <w:sz w:val="23"/>
                <w:szCs w:val="23"/>
                <w:color w:val="auto"/>
              </w:rPr>
            </w:pPr>
          </w:p>
        </w:tc>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18"/>
                <w:szCs w:val="18"/>
                <w:b w:val="1"/>
                <w:bCs w:val="1"/>
                <w:color w:val="auto"/>
                <w:vertAlign w:val="superscript"/>
              </w:rPr>
              <w:t>(2)</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4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payment arrangements</w:t>
            </w: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Affiliate equity repurchase obligations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36.2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5"/>
        </w:trPr>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Investments in marketable securities</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59.4</w:t>
            </w:r>
          </w:p>
        </w:tc>
        <w:tc>
          <w:tcPr>
            <w:tcW w:w="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24.4</w:t>
            </w:r>
          </w:p>
        </w:tc>
        <w:tc>
          <w:tcPr>
            <w:tcW w:w="4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shd w:val="clear" w:color="auto" w:fill="CCEEFF"/>
          </w:tcPr>
          <w:p>
            <w:pPr>
              <w:spacing w:after="0"/>
              <w:rPr>
                <w:sz w:val="23"/>
                <w:szCs w:val="23"/>
                <w:color w:val="auto"/>
              </w:rPr>
            </w:pPr>
          </w:p>
        </w:tc>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18"/>
                <w:szCs w:val="18"/>
                <w:b w:val="1"/>
                <w:bCs w:val="1"/>
                <w:color w:val="auto"/>
                <w:vertAlign w:val="superscript"/>
              </w:rPr>
              <w:t>(2)</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4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Affiliate equity repurchase obligations</w:t>
            </w: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19.8</w:t>
            </w:r>
          </w:p>
        </w:tc>
        <w:tc>
          <w:tcPr>
            <w:tcW w:w="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60" w:type="dxa"/>
            <w:vAlign w:val="bottom"/>
            <w:gridSpan w:val="2"/>
          </w:tcPr>
          <w:p>
            <w:pPr>
              <w:spacing w:after="0"/>
              <w:rPr>
                <w:sz w:val="20"/>
                <w:szCs w:val="20"/>
                <w:color w:val="auto"/>
              </w:rPr>
            </w:pPr>
            <w:r>
              <w:rPr>
                <w:rFonts w:ascii="Arial" w:cs="Arial" w:eastAsia="Arial" w:hAnsi="Arial"/>
                <w:sz w:val="14"/>
                <w:szCs w:val="14"/>
                <w:color w:val="auto"/>
              </w:rPr>
              <w:t>__________________________</w:t>
            </w: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0"/>
                <w:szCs w:val="20"/>
                <w:color w:val="auto"/>
              </w:rPr>
            </w:pPr>
            <w:r>
              <w:rPr>
                <w:rFonts w:ascii="Arial" w:cs="Arial" w:eastAsia="Arial" w:hAnsi="Arial"/>
                <w:sz w:val="9"/>
                <w:szCs w:val="9"/>
                <w:color w:val="auto"/>
              </w:rPr>
              <w:t>(1)</w:t>
            </w:r>
          </w:p>
        </w:tc>
        <w:tc>
          <w:tcPr>
            <w:tcW w:w="5480" w:type="dxa"/>
            <w:vAlign w:val="bottom"/>
            <w:gridSpan w:val="2"/>
            <w:vMerge w:val="restart"/>
          </w:tcPr>
          <w:p>
            <w:pPr>
              <w:ind w:left="200"/>
              <w:spacing w:after="0"/>
              <w:rPr>
                <w:sz w:val="20"/>
                <w:szCs w:val="20"/>
                <w:color w:val="auto"/>
              </w:rPr>
            </w:pPr>
            <w:r>
              <w:rPr>
                <w:rFonts w:ascii="Arial" w:cs="Arial" w:eastAsia="Arial" w:hAnsi="Arial"/>
                <w:sz w:val="18"/>
                <w:szCs w:val="18"/>
                <w:color w:val="auto"/>
              </w:rPr>
              <w:t>Amounts are presented within Other assets.</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140" w:type="dxa"/>
            <w:vAlign w:val="bottom"/>
          </w:tcPr>
          <w:p>
            <w:pPr>
              <w:spacing w:after="0"/>
              <w:rPr>
                <w:sz w:val="9"/>
                <w:szCs w:val="9"/>
                <w:color w:val="auto"/>
              </w:rPr>
            </w:pPr>
          </w:p>
        </w:tc>
        <w:tc>
          <w:tcPr>
            <w:tcW w:w="54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Arial" w:cs="Arial" w:eastAsia="Arial" w:hAnsi="Arial"/>
                <w:sz w:val="9"/>
                <w:szCs w:val="9"/>
                <w:color w:val="auto"/>
              </w:rPr>
              <w:t>(2)</w:t>
            </w:r>
          </w:p>
        </w:tc>
        <w:tc>
          <w:tcPr>
            <w:tcW w:w="5480" w:type="dxa"/>
            <w:vAlign w:val="bottom"/>
            <w:gridSpan w:val="2"/>
            <w:vMerge w:val="restart"/>
          </w:tcPr>
          <w:p>
            <w:pPr>
              <w:ind w:left="200"/>
              <w:spacing w:after="0"/>
              <w:rPr>
                <w:sz w:val="20"/>
                <w:szCs w:val="20"/>
                <w:color w:val="auto"/>
              </w:rPr>
            </w:pPr>
            <w:r>
              <w:rPr>
                <w:rFonts w:ascii="Arial" w:cs="Arial" w:eastAsia="Arial" w:hAnsi="Arial"/>
                <w:sz w:val="18"/>
                <w:szCs w:val="18"/>
                <w:color w:val="auto"/>
              </w:rPr>
              <w:t>Amounts are presented within Other liabilities.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40" w:type="dxa"/>
            <w:vAlign w:val="bottom"/>
          </w:tcPr>
          <w:p>
            <w:pPr>
              <w:spacing w:after="0"/>
              <w:rPr>
                <w:sz w:val="9"/>
                <w:szCs w:val="9"/>
                <w:color w:val="auto"/>
              </w:rPr>
            </w:pPr>
          </w:p>
        </w:tc>
        <w:tc>
          <w:tcPr>
            <w:tcW w:w="54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Level 3 Financial Assets and Liabilities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40" w:type="dxa"/>
            <w:vAlign w:val="bottom"/>
          </w:tcPr>
          <w:p>
            <w:pPr>
              <w:spacing w:after="0"/>
              <w:rPr>
                <w:sz w:val="24"/>
                <w:szCs w:val="24"/>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The following table presents the changes in level 3 liabilities: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8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w w:val="95"/>
              </w:rPr>
              <w:t>Contingent Payment</w:t>
            </w:r>
          </w:p>
        </w:tc>
        <w:tc>
          <w:tcPr>
            <w:tcW w:w="1300" w:type="dxa"/>
            <w:vAlign w:val="bottom"/>
            <w:gridSpan w:val="6"/>
          </w:tcPr>
          <w:p>
            <w:pPr>
              <w:jc w:val="right"/>
              <w:ind w:right="320"/>
              <w:spacing w:after="0" w:line="153" w:lineRule="exact"/>
              <w:rPr>
                <w:sz w:val="20"/>
                <w:szCs w:val="20"/>
                <w:color w:val="auto"/>
              </w:rPr>
            </w:pPr>
            <w:r>
              <w:rPr>
                <w:rFonts w:ascii="Arial" w:cs="Arial" w:eastAsia="Arial" w:hAnsi="Arial"/>
                <w:sz w:val="14"/>
                <w:szCs w:val="14"/>
                <w:b w:val="1"/>
                <w:bCs w:val="1"/>
                <w:color w:val="auto"/>
                <w:w w:val="97"/>
              </w:rPr>
              <w:t>Affiliate Equity</w:t>
            </w:r>
          </w:p>
        </w:tc>
        <w:tc>
          <w:tcPr>
            <w:tcW w:w="1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Contingent Payment</w:t>
            </w:r>
          </w:p>
        </w:tc>
        <w:tc>
          <w:tcPr>
            <w:tcW w:w="100" w:type="dxa"/>
            <w:vAlign w:val="bottom"/>
          </w:tcPr>
          <w:p>
            <w:pPr>
              <w:spacing w:after="0"/>
              <w:rPr>
                <w:sz w:val="13"/>
                <w:szCs w:val="13"/>
                <w:color w:val="auto"/>
              </w:rPr>
            </w:pPr>
          </w:p>
        </w:tc>
        <w:tc>
          <w:tcPr>
            <w:tcW w:w="1260" w:type="dxa"/>
            <w:vAlign w:val="bottom"/>
            <w:gridSpan w:val="2"/>
          </w:tcPr>
          <w:p>
            <w:pPr>
              <w:jc w:val="right"/>
              <w:ind w:right="114"/>
              <w:spacing w:after="0" w:line="153" w:lineRule="exact"/>
              <w:rPr>
                <w:sz w:val="20"/>
                <w:szCs w:val="20"/>
                <w:color w:val="auto"/>
              </w:rPr>
            </w:pPr>
            <w:r>
              <w:rPr>
                <w:rFonts w:ascii="Arial" w:cs="Arial" w:eastAsia="Arial" w:hAnsi="Arial"/>
                <w:sz w:val="14"/>
                <w:szCs w:val="14"/>
                <w:b w:val="1"/>
                <w:bCs w:val="1"/>
                <w:color w:val="auto"/>
              </w:rPr>
              <w:t>Affiliate Equity</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Repurchase</w:t>
            </w: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w w:val="94"/>
              </w:rPr>
              <w:t>Repurchase</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Arrangements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Arrangements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Obligations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6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8"/>
                <w:szCs w:val="18"/>
                <w:color w:val="auto"/>
                <w:vertAlign w:val="superscript"/>
              </w:rPr>
              <w:t>(1)</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8"/>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Purchases and issuances</w:t>
            </w:r>
            <w:r>
              <w:rPr>
                <w:rFonts w:ascii="Arial" w:cs="Arial" w:eastAsia="Arial" w:hAnsi="Arial"/>
                <w:sz w:val="18"/>
                <w:szCs w:val="18"/>
                <w:color w:val="auto"/>
                <w:vertAlign w:val="superscript"/>
              </w:rPr>
              <w:t>(2)</w:t>
            </w: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Settlements and reductions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gridSpan w:val="2"/>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2"/>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Net change in unrealized losses relating to instruments still held at the</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reporting date</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vertAlign w:val="superscript"/>
        </w:rPr>
      </w:pPr>
      <w:r>
        <w:rPr>
          <w:rFonts w:ascii="Arial" w:cs="Arial" w:eastAsia="Arial" w:hAnsi="Arial"/>
          <w:sz w:val="18"/>
          <w:szCs w:val="18"/>
          <w:color w:val="auto"/>
        </w:rPr>
        <w:t>Accretion expense for these arrangements is recorded in Interest expense.</w:t>
      </w:r>
    </w:p>
    <w:p>
      <w:pPr>
        <w:spacing w:after="0" w:line="225"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2"/>
        </w:numPr>
        <w:rPr>
          <w:rFonts w:ascii="Arial" w:cs="Arial" w:eastAsia="Arial" w:hAnsi="Arial"/>
          <w:sz w:val="18"/>
          <w:szCs w:val="18"/>
          <w:color w:val="auto"/>
          <w:vertAlign w:val="superscript"/>
        </w:rPr>
      </w:pPr>
      <w:r>
        <w:rPr>
          <w:rFonts w:ascii="Arial" w:cs="Arial" w:eastAsia="Arial" w:hAnsi="Arial"/>
          <w:sz w:val="18"/>
          <w:szCs w:val="18"/>
          <w:color w:val="auto"/>
        </w:rPr>
        <w:t>Includes transfers from Redeemable non-controlling interests.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valuing the Company’s recurring level 3 fair value measurements: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December 31, 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 2019</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Valuation</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Range</w:t>
            </w:r>
          </w:p>
        </w:tc>
        <w:tc>
          <w:tcPr>
            <w:tcW w:w="120" w:type="dxa"/>
            <w:vAlign w:val="bottom"/>
            <w:vMerge w:val="restart"/>
          </w:tcPr>
          <w:p>
            <w:pPr>
              <w:spacing w:after="0"/>
              <w:rPr>
                <w:sz w:val="13"/>
                <w:szCs w:val="13"/>
                <w:color w:val="auto"/>
              </w:rPr>
            </w:pPr>
          </w:p>
        </w:tc>
        <w:tc>
          <w:tcPr>
            <w:tcW w:w="12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3"/>
                <w:szCs w:val="13"/>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3"/>
                <w:szCs w:val="13"/>
                <w:color w:val="auto"/>
              </w:rPr>
            </w:pPr>
          </w:p>
        </w:tc>
        <w:tc>
          <w:tcPr>
            <w:tcW w:w="11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Techniques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Unobservable Input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40"/>
              <w:spacing w:after="0" w:line="148" w:lineRule="exact"/>
              <w:rPr>
                <w:sz w:val="20"/>
                <w:szCs w:val="20"/>
                <w:color w:val="auto"/>
              </w:rPr>
            </w:pPr>
            <w:r>
              <w:rPr>
                <w:rFonts w:ascii="Arial" w:cs="Arial" w:eastAsia="Arial" w:hAnsi="Arial"/>
                <w:sz w:val="14"/>
                <w:szCs w:val="14"/>
                <w:color w:val="auto"/>
              </w:rPr>
              <w:t>Contingent payment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Discounted cash</w:t>
            </w:r>
          </w:p>
        </w:tc>
        <w:tc>
          <w:tcPr>
            <w:tcW w:w="138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Growth rates</w:t>
            </w:r>
            <w:r>
              <w:rPr>
                <w:rFonts w:ascii="Arial" w:cs="Arial" w:eastAsia="Arial" w:hAnsi="Arial"/>
                <w:sz w:val="8"/>
                <w:szCs w:val="8"/>
                <w:color w:val="auto"/>
              </w:rPr>
              <w:t>(2)</w:t>
            </w:r>
          </w:p>
        </w:tc>
        <w:tc>
          <w:tcPr>
            <w:tcW w:w="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1.9</w:t>
            </w:r>
          </w:p>
        </w:tc>
        <w:tc>
          <w:tcPr>
            <w:tcW w:w="1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flow</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Discount rates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Affiliate equity</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Discounted cash</w:t>
            </w: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Growth rates</w:t>
            </w:r>
            <w:r>
              <w:rPr>
                <w:rFonts w:ascii="Arial" w:cs="Arial" w:eastAsia="Arial" w:hAnsi="Arial"/>
                <w:sz w:val="8"/>
                <w:szCs w:val="8"/>
                <w:color w:val="auto"/>
              </w:rPr>
              <w:t>(2)</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36.2</w:t>
            </w:r>
          </w:p>
        </w:tc>
        <w:tc>
          <w:tcPr>
            <w:tcW w:w="12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 - 9%</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 - 7%</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repurchase obligations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flow</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Discount rates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14% - 16%</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 - 17%</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vertAlign w:val="superscript"/>
        </w:rPr>
      </w:pPr>
      <w:r>
        <w:rPr>
          <w:rFonts w:ascii="Arial" w:cs="Arial" w:eastAsia="Arial" w:hAnsi="Arial"/>
          <w:sz w:val="18"/>
          <w:szCs w:val="18"/>
          <w:color w:val="auto"/>
        </w:rPr>
        <w:t>Calculated by comparing the relative fair value of an arrangement or obligation to its respective total.</w:t>
      </w:r>
    </w:p>
    <w:p>
      <w:pPr>
        <w:spacing w:after="0" w:line="225"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3"/>
        </w:numPr>
        <w:rPr>
          <w:rFonts w:ascii="Arial" w:cs="Arial" w:eastAsia="Arial" w:hAnsi="Arial"/>
          <w:sz w:val="18"/>
          <w:szCs w:val="18"/>
          <w:color w:val="auto"/>
          <w:vertAlign w:val="superscript"/>
        </w:rPr>
      </w:pPr>
      <w:r>
        <w:rPr>
          <w:rFonts w:ascii="Arial" w:cs="Arial" w:eastAsia="Arial" w:hAnsi="Arial"/>
          <w:sz w:val="18"/>
          <w:szCs w:val="18"/>
          <w:color w:val="auto"/>
        </w:rPr>
        <w:t>Represents growth rates of asset and performance based fees.</w:t>
      </w:r>
    </w:p>
    <w:p>
      <w:pPr>
        <w:spacing w:after="0" w:line="14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Contingent payment arrangements represents the present value of the expected future settlement amounts related to the Company’s investments in consolidated Affiliates.</w:t>
      </w:r>
    </w:p>
    <w:p>
      <w:pPr>
        <w:spacing w:after="0" w:line="2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Affiliate equity repurchase obligations include agreements to repurchase Affiliate equity. As of December 31, 2019, there were no changes to growth or discount rates that had a significant impact to Affiliate equity repurchase obligations recorded in prior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Measured at NAV as a Practical Expedient</w:t>
      </w:r>
    </w:p>
    <w:p>
      <w:pPr>
        <w:spacing w:after="0" w:line="27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Affiliates sponsor investment products in which the Company and its Affiliates may make general partner and seed capital investments. The Company uses the NAV of these investments as a practical expedient for their fair value and reports these products within Other investments. The following table summarizes the fair values of these investments and unfunded commitments: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of Investment</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Unfunded</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26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Commitments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193.2</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Other funds</w:t>
            </w:r>
            <w:r>
              <w:rPr>
                <w:rFonts w:ascii="Arial" w:cs="Arial" w:eastAsia="Arial" w:hAnsi="Arial"/>
                <w:sz w:val="18"/>
                <w:szCs w:val="18"/>
                <w:color w:val="auto"/>
                <w:vertAlign w:val="superscript"/>
              </w:rPr>
              <w:t>(2)</w:t>
            </w:r>
          </w:p>
        </w:tc>
        <w:tc>
          <w:tcPr>
            <w:tcW w:w="26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r>
              <w:rPr>
                <w:rFonts w:ascii="Arial" w:cs="Arial" w:eastAsia="Arial" w:hAnsi="Arial"/>
                <w:sz w:val="18"/>
                <w:szCs w:val="18"/>
                <w:color w:val="auto"/>
                <w:vertAlign w:val="superscript"/>
              </w:rPr>
              <w:t>(3)</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300" w:hanging="332"/>
        <w:spacing w:after="0" w:line="264"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8"/>
          <w:szCs w:val="18"/>
          <w:color w:val="auto"/>
        </w:rPr>
        <w:t>The Company uses NAV as a practical expedient one quarter in arrears (adjusted for current period calls and distributions) to determine the fair value. These funds primarily invest in a broad range of third-party funds and direct investments. Distributions will be received as the underlying assets are liquidated over the life of the funds, which is generally up to 15 years.</w:t>
      </w:r>
    </w:p>
    <w:p>
      <w:pPr>
        <w:spacing w:after="0" w:line="181" w:lineRule="exact"/>
        <w:rPr>
          <w:rFonts w:ascii="Arial" w:cs="Arial" w:eastAsia="Arial" w:hAnsi="Arial"/>
          <w:sz w:val="18"/>
          <w:szCs w:val="18"/>
          <w:color w:val="auto"/>
          <w:vertAlign w:val="superscript"/>
        </w:rPr>
      </w:pPr>
    </w:p>
    <w:p>
      <w:pPr>
        <w:ind w:left="340" w:right="20" w:hanging="332"/>
        <w:spacing w:after="0" w:line="277"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8"/>
          <w:szCs w:val="18"/>
          <w:color w:val="auto"/>
        </w:rPr>
        <w:t>These are multi-disciplinary funds that invest across various asset classes and strategies, including equity, credit and real estate. Investments are generally redeemable on a daily, monthly or quarterly basis.</w:t>
      </w:r>
    </w:p>
    <w:p>
      <w:pPr>
        <w:spacing w:after="0" w:line="17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8"/>
          <w:szCs w:val="18"/>
          <w:color w:val="auto"/>
        </w:rPr>
        <w:t>Fair value attributable to the controlling interest was $123.2 million and $137.6 million as of December 31, 2018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Financial Assets and Liabilities Not Carried at Fair Value</w:t>
      </w:r>
    </w:p>
    <w:p>
      <w:pPr>
        <w:spacing w:after="0" w:line="2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other financial assets and liabilities, which are not required to be carried at fair value, but the Company is required to disclose their fair values. The carrying amount of Cash and cash equivalents, Receivables, and Payables and accrued liabilities approximates fair value because of the short-term nature of these instruments. The carrying value of notes receivable, which is reported in Other assets, approximates fair value because interest rates and other terms are at market rates.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carrying value of the credit facilities approximates fair value because the credit facilities have variable interest based on selected short-term rates. The following table summarizes the Company’s other financial liabilities not carried at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Pr>
          <w:p>
            <w:pPr>
              <w:ind w:left="360"/>
              <w:spacing w:after="0" w:line="13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Hierarchy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746.8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Junior convertible securities</w:t>
            </w:r>
          </w:p>
        </w:tc>
        <w:tc>
          <w:tcPr>
            <w:tcW w:w="1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21"/>
                <w:szCs w:val="21"/>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Client Relationships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present the changes in the Company’s consolidated Affiliates’ Goodwill and components of Acquired client relationships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Goodwill</w:t>
            </w:r>
          </w:p>
        </w:tc>
        <w:tc>
          <w:tcPr>
            <w:tcW w:w="98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2,633.4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2,651.7</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 Company completed its impairment assessment on goodwill and no impairment was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3"/>
              </w:rPr>
              <w:t>Acquired Client Relationships (Net)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Definite-lived</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Indefinite-lived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 Book</w:t>
            </w:r>
          </w:p>
        </w:tc>
        <w:tc>
          <w:tcPr>
            <w:tcW w:w="180" w:type="dxa"/>
            <w:vAlign w:val="bottom"/>
          </w:tcPr>
          <w:p>
            <w:pPr>
              <w:spacing w:after="0"/>
              <w:rPr>
                <w:sz w:val="13"/>
                <w:szCs w:val="13"/>
                <w:color w:val="auto"/>
              </w:rPr>
            </w:pPr>
          </w:p>
        </w:tc>
        <w:tc>
          <w:tcPr>
            <w:tcW w:w="130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Net Book</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Book</w:t>
            </w:r>
          </w:p>
        </w:tc>
        <w:tc>
          <w:tcPr>
            <w:tcW w:w="260" w:type="dxa"/>
            <w:vAlign w:val="bottom"/>
          </w:tcPr>
          <w:p>
            <w:pPr>
              <w:spacing w:after="0"/>
              <w:rPr>
                <w:sz w:val="13"/>
                <w:szCs w:val="13"/>
                <w:color w:val="auto"/>
              </w:rPr>
            </w:pPr>
          </w:p>
        </w:tc>
        <w:tc>
          <w:tcPr>
            <w:tcW w:w="11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1,006.3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vertAlign w:val="superscript"/>
        </w:rPr>
      </w:pPr>
      <w:r>
        <w:rPr>
          <w:rFonts w:ascii="Arial" w:cs="Arial" w:eastAsia="Arial" w:hAnsi="Arial"/>
          <w:sz w:val="18"/>
          <w:szCs w:val="18"/>
          <w:color w:val="auto"/>
        </w:rPr>
        <w:t>Transfers includes acquired client relationships at Affiliates that were deconsolidated during the period.</w:t>
      </w:r>
    </w:p>
    <w:p>
      <w:pPr>
        <w:spacing w:after="0" w:line="27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consolidated Affiliates are amortized over their expected period of economic benefit. The Company recorded amortization expense in Intangible amortization and impairments for these relationships of $86.4 million, $114.4 million and $93.4 million for the years ended December 31, 2017, 2018 and 2019, respectively. Based on relationships existing as of December 31, 2019, the Company estimates that its consolidated annual amortization expense will be approximately $60 million in 2020, approximately $30 million in each of 2021, 2022 and 2023, and approximately $20 million in 2024.</w:t>
      </w:r>
    </w:p>
    <w:p>
      <w:pPr>
        <w:spacing w:after="0" w:line="24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the fourth quarter of 2019, the Company completed its impairment assessment of its indefinite-lived acquired client relationships and determined that the fair value of an indefinite-lived acquired client relationship at one of its Affiliates had declined below its carrying value. Accordingly, the Company recorded an expense in Intangible amortization and impairments of $35.0 million ($31.2 million attributable to the controlling interest) to reduce the carrying value to fair value of the asset. The decline in the fair value was a result of a projected decline in assets under management that decreased the forecasted revenue associated with the asset. The fair value of the asset was determined using a discounted cash flow analysis, a level 3 fair value measurement that included a projected growth rate of (9)% for assets under management, discount rate of 14.5% for</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asset based fees, and a market participant tax rate of 25%. No other impairments of indefinite-lived acquired client relationships were indicated.</w:t>
      </w:r>
    </w:p>
    <w:p>
      <w:pPr>
        <w:spacing w:after="0" w:line="27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 addition, the Company recorded an expense in Intangible amortization and impairments of $16.1 million to reduce the carrying value to zero of certain indefinite-lived acquired client relationships due to the closure of certain retail investment products on its U.S. retail distribution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Method Investments in Affiliates</w:t>
      </w:r>
    </w:p>
    <w:p>
      <w:pPr>
        <w:spacing w:after="0" w:line="28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July 2019, the Company completed a minority investment in Garda Capital Partners LP. The Company’s purchase price allocation was measured using financial models that included assumptions of expected market performance, net client cash flows and discount rates. The majority of the consideration paid is deductible for U.S. tax purposes over a 15 year life.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 in Equity method investments in Affiliates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4"/>
              </w:rPr>
              <w:t>Equity Method Investments in Affiliates (Net)</w:t>
            </w:r>
          </w:p>
        </w:tc>
      </w:tr>
      <w:tr>
        <w:trPr>
          <w:trHeight w:val="264"/>
        </w:trPr>
        <w:tc>
          <w:tcPr>
            <w:tcW w:w="8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289.4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of earnings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Divestments of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2,195.6</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Affiliates accounted for under the equity method are amortized over their expected period of economic benefit. The Company recorded amortization expense for these relationships of $106.1 million, $97.5 million and $142.4 million, respectively, for the years ended December 31, 2017, 2018 and 2019. Based on relationships existing as of December 31, 2019, the Company estimates the annual amortization expense attributable to its Affiliates will be approximately $130 million in 2020 and approximately $75 million in each of 2021, 2022, 2023 and 2024.</w:t>
      </w:r>
    </w:p>
    <w:p>
      <w:pPr>
        <w:spacing w:after="0" w:line="10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the second quarter of 2018, the Company recorded a $33.3 million expense to reduce the carrying value to zero of an Affiliate as the business was in liquidation.</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fourth quarter of 2018, the Company recorded a $240.0 million expense to reduce the carrying value to fair value of an Affiliate. The decline in the fair value of the Affiliate was due to a decline in assets under management as a result of client redemptions, coupled with recent negative investment returns, which resulted in the decrease of forecasted performance based fees. The fair value of the investment was determined using a discounted cash flow analysis, a level 3 fair value measurement that included a projected future growth rate of 2.5%, discount rates of 11.0% and 20.0% for asset and performance based fees, respectively, and a market participant tax rate of 25.0%. Based on the discounted cash flow analysis, the Company concluded that the fair value of its investment had declined below its carrying value and that the decline was other-than-temporary.</w:t>
      </w:r>
    </w:p>
    <w:p>
      <w:pPr>
        <w:spacing w:after="0" w:line="17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connection with one of the Company’s investments in an Affiliate, a minority owner has the right to elect to sell a portion of its ownership interest in the Affiliate to the Company annually. In the second quarter of 2019, the minority owner elected to sell a 5% ownership interest in the Affiliate to the Company for $25.7 million, which settled during the year. In the fourth quarter of 2019, the Company was notified by the minority owner that it had elected to sell an additional 5% ownership interest in the Affiliate to the Company, which is expected to be completed in the first half of 2020. As of December 31, 2019, the minority owner maintains a 14% interest in the Affiliate.</w:t>
      </w:r>
    </w:p>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the first quarter of 2019, the Company recorded a $415.0 million expense to reduce the carrying value to fair value of an Affiliate. A series of precipitating events led the Company to conclude in March 2019 that the growth expectations of the</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Affiliate had declined significantly, which the Company determined constituted a triggering event. The Affiliate’s flagship product had underperformed. The cumulative effect of associated redemptions and scaled-down fundraising expectations reduced expected asset and performance based fees and operating margin at the Affiliate. This led to a significant decrease in projected operating cash flows available to fund the Affiliate’s growth strategy, prompting a change in the strategic objectives of the Affiliate, including exiting the systematic equity business and reducing the number of new investment strategies being pursued. The Company determined that the estimated fair value of the Affiliate had declined meaningfully. Therefore, the Company performed a valuation to determine whether the fair value of the Affiliate had declined below its carrying value. The fair value of the investment was determined using a discounted cash flow analysis, a level 3 fair value measurement, that included a projected compounded asset based fee growth over the first five years of (13)%, discount rates of 11% and 20% for asset and performance based fees, respectively, and a market participant tax rate of 25%. Based on the discounted cash flow analysis, the Company concluded that the fair value of its investment had declined below its carrying value and that the decline was other-than-temporary. Subsequently, the Company sold its interest in the Affiliate on October 1, 2019, and the Company recorded no significant gain or loss on the transaction.</w:t>
      </w:r>
    </w:p>
    <w:p>
      <w:pPr>
        <w:spacing w:after="0" w:line="1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the third quarter of 2019, the Company recorded a $10.0 million expense to reduce the carrying value to fair value of another Affiliate. The fair value of the investment was determined using a discounted cash flow analysis, a level 3 fair value measurement that included a projected growth rate of (20)%, discount rates of 11% and 20% for asset and performance 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0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fourth quarter of 2019, the Company recorded a $60.0 million expense to reduce the carrying value to fair value of an additional Affiliate. The decline in the fair value was a result of a decline in assets under management and a reduction in projected growth, which decreased the forecasted revenue associated with the investment. The fair value of the investment was determined using a discounted cash flow analysis, a level 3 fair value measurement that included a projected growth rate of 9% for assets under management, discount rates of 11% and 20% for asset and performance 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completed its other annual evaluations of equity method investments in Affiliates as of December 31, 2019, and no other impairments were indicated.</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3,231.7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2,760.9</w:t>
            </w:r>
          </w:p>
        </w:tc>
      </w:tr>
      <w:tr>
        <w:trPr>
          <w:trHeight w:val="254"/>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r>
              <w:rPr>
                <w:rFonts w:ascii="Arial" w:cs="Arial" w:eastAsia="Arial" w:hAnsi="Arial"/>
                <w:sz w:val="18"/>
                <w:szCs w:val="18"/>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1,286.1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1,061.3</w:t>
            </w:r>
          </w:p>
        </w:tc>
      </w:tr>
      <w:tr>
        <w:trPr>
          <w:trHeight w:val="415"/>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2,718.5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Liabilities and Non-controlling interests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1,212.7</w:t>
            </w:r>
          </w:p>
        </w:tc>
      </w:tr>
      <w:tr>
        <w:trPr>
          <w:trHeight w:val="218"/>
        </w:trPr>
        <w:tc>
          <w:tcPr>
            <w:tcW w:w="676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46" w:lineRule="exact"/>
        <w:rPr>
          <w:sz w:val="20"/>
          <w:szCs w:val="20"/>
          <w:color w:val="auto"/>
        </w:rPr>
      </w:pPr>
    </w:p>
    <w:p>
      <w:pPr>
        <w:ind w:left="340" w:right="280" w:hanging="332"/>
        <w:spacing w:after="0" w:line="277" w:lineRule="auto"/>
        <w:tabs>
          <w:tab w:leader="none" w:pos="340" w:val="left"/>
        </w:tabs>
        <w:numPr>
          <w:ilvl w:val="0"/>
          <w:numId w:val="37"/>
        </w:numPr>
        <w:rPr>
          <w:rFonts w:ascii="Arial" w:cs="Arial" w:eastAsia="Arial" w:hAnsi="Arial"/>
          <w:sz w:val="18"/>
          <w:szCs w:val="18"/>
          <w:color w:val="auto"/>
          <w:vertAlign w:val="superscript"/>
        </w:rPr>
      </w:pPr>
      <w:r>
        <w:rPr>
          <w:rFonts w:ascii="Arial" w:cs="Arial" w:eastAsia="Arial" w:hAnsi="Arial"/>
          <w:sz w:val="18"/>
          <w:szCs w:val="18"/>
          <w:color w:val="auto"/>
        </w:rPr>
        <w:t>Revenue and net income include asset and performance based fees, the impact of consolidated sponsored investment products and investments in new Affiliates for the full-year, regardless of the date of the Company’s investment.</w:t>
      </w:r>
    </w:p>
    <w:p>
      <w:pPr>
        <w:spacing w:after="0" w:line="8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Company’s share of undistributed earnings from equity method investments is recorded in Equity method investments in Affiliates (net) and was $115.0 million as of December 31, 2019.</w:t>
      </w:r>
    </w:p>
    <w:p>
      <w:pPr>
        <w:spacing w:after="0" w:line="22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Under Rule 3-09 of Regulation S-X, the Company determined that one of its Affiliates accounted for under the equity method was significant for the years ended December 31, 2017 and 2018, and was not significant for the year ended December 31, 2019. This Affiliate reported revenue and net income of $844.8 million and $228.5 million, respectively, for the year ended December 31, 2019. This Affiliate’s total assets and total liabilities were $392.9 million and $299.8 million, respectively, as of December 31, 2019. This Affiliate’s cash flows from operating activities, cash flows used in investing activities and cash flows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used in financing activities were $308.7 million, $7.4 million and $313.1 million, respectively, for the year ended December 31,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 Commitments</w:t>
      </w:r>
    </w:p>
    <w:p>
      <w:pPr>
        <w:spacing w:after="0" w:line="2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and its Affiliates currently lease office space and equipment under various operating leasing arrangements. The following table presents total lease costs (net):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lease costs (net)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67"/>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ind w:left="187"/>
        <w:spacing w:after="0"/>
        <w:rPr>
          <w:sz w:val="20"/>
          <w:szCs w:val="20"/>
          <w:color w:val="auto"/>
        </w:rPr>
      </w:pPr>
      <w:r>
        <w:rPr>
          <w:rFonts w:ascii="Arial" w:cs="Arial" w:eastAsia="Arial" w:hAnsi="Arial"/>
          <w:sz w:val="14"/>
          <w:szCs w:val="14"/>
          <w:b w:val="1"/>
          <w:bCs w:val="1"/>
          <w:color w:val="auto"/>
        </w:rPr>
        <w:t>December 31, 2019</w:t>
      </w:r>
    </w:p>
    <w:p>
      <w:pPr>
        <w:spacing w:after="0" w:line="47" w:lineRule="exact"/>
        <w:rPr>
          <w:sz w:val="20"/>
          <w:szCs w:val="20"/>
          <w:color w:val="auto"/>
        </w:rPr>
      </w:pPr>
    </w:p>
    <w:p>
      <w:pPr>
        <w:ind w:left="1147" w:hanging="1147"/>
        <w:spacing w:after="0"/>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41.7</w:t>
      </w:r>
    </w:p>
    <w:p>
      <w:pPr>
        <w:spacing w:after="0" w:line="63" w:lineRule="exact"/>
        <w:rPr>
          <w:rFonts w:ascii="Arial" w:cs="Arial" w:eastAsia="Arial" w:hAnsi="Arial"/>
          <w:sz w:val="18"/>
          <w:szCs w:val="18"/>
          <w:color w:val="auto"/>
        </w:rPr>
      </w:pPr>
    </w:p>
    <w:p>
      <w:pPr>
        <w:ind w:left="1227"/>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63" w:lineRule="exact"/>
        <w:rPr>
          <w:rFonts w:ascii="Arial" w:cs="Arial" w:eastAsia="Arial" w:hAnsi="Arial"/>
          <w:sz w:val="18"/>
          <w:szCs w:val="18"/>
          <w:color w:val="auto"/>
        </w:rPr>
      </w:pPr>
    </w:p>
    <w:p>
      <w:pPr>
        <w:ind w:left="1227"/>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w:t>
      </w:r>
    </w:p>
    <w:p>
      <w:pPr>
        <w:spacing w:after="0" w:line="77" w:lineRule="exact"/>
        <w:rPr>
          <w:sz w:val="20"/>
          <w:szCs w:val="20"/>
          <w:color w:val="auto"/>
        </w:rPr>
      </w:pPr>
    </w:p>
    <w:p>
      <w:pPr>
        <w:ind w:left="1147" w:hanging="1147"/>
        <w:spacing w:after="0"/>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1012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3" w:space="720"/>
            <w:col w:w="1567"/>
          </w:cols>
          <w:pgMar w:left="240" w:top="125" w:right="239" w:bottom="1440" w:gutter="0" w:footer="0" w:header="0"/>
          <w:type w:val="continuous"/>
        </w:sectPr>
      </w:pPr>
    </w:p>
    <w:p>
      <w:pPr>
        <w:spacing w:after="0" w:line="36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For the year ended December 31, 2019, new right-of-use assets obtained in exchange for lease liabilities were $26.1 million. As of December 31, 2019, the Company’s and its Affiliates’ weighted average operating lease term was eight years and the weighted average operating lease discount rate was 4%.</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maturity of lease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undiscounted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vertAlign w:val="superscript"/>
        </w:rPr>
      </w:pPr>
      <w:r>
        <w:rPr>
          <w:rFonts w:ascii="Arial" w:cs="Arial" w:eastAsia="Arial" w:hAnsi="Arial"/>
          <w:sz w:val="17"/>
          <w:szCs w:val="17"/>
          <w:color w:val="auto"/>
        </w:rPr>
        <w:t>Total undiscounted lease liabilities were $50.4 million greater than the operating leases recorded in Other liabilities primarily due to present value discounting. Both amounts exclude leases with initial terms of 12 months or less and leases that have not yet commenced.</w:t>
      </w:r>
    </w:p>
    <w:p>
      <w:pPr>
        <w:spacing w:after="0" w:line="66"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connection with the Company’s adoption of ASU 2016-02, the Company was not required to, and did not, update prior period disclosures from the Company’s Annual Report on Form 10-K for the fiscal year ended December 31, 2018. The Company’s reported aggregate required minimum payments for operating leases having initial or non-cancelable lease terms greater than one year under the old standard as of December 31, 2018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Required Minimum</w:t>
            </w:r>
          </w:p>
        </w:tc>
        <w:tc>
          <w:tcPr>
            <w:tcW w:w="0" w:type="dxa"/>
            <w:vAlign w:val="bottom"/>
          </w:tcPr>
          <w:p>
            <w:pPr>
              <w:spacing w:after="0"/>
              <w:rPr>
                <w:sz w:val="1"/>
                <w:szCs w:val="1"/>
                <w:color w:val="auto"/>
              </w:rPr>
            </w:pPr>
          </w:p>
        </w:tc>
      </w:tr>
      <w:tr>
        <w:trPr>
          <w:trHeight w:val="192"/>
        </w:trPr>
        <w:tc>
          <w:tcPr>
            <w:tcW w:w="100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1006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Consolidated rent expense for 2017, 2018 and 2019 was $37.5 million, $40.5 million and $45.3 million, respectively, including an $8.1 million expense to reduce the carrying value to fair value of certain of the Company’s right-of-use assets</w:t>
      </w:r>
    </w:p>
    <w:p>
      <w:pPr>
        <w:sectPr>
          <w:pgSz w:w="11900" w:h="16838" w:orient="portrait"/>
          <w:cols w:equalWidth="0" w:num="1">
            <w:col w:w="11420"/>
          </w:cols>
          <w:pgMar w:left="240" w:top="125"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related to a reduction in leased office space in the fourth quarter of 2019. The fair values of the right-of-use assets were determined using a discounted cash flow analysis, a Level 3 fair value measurement that included market rental rates ranging from $13 to $68 per square foot (weighted-average of $46 per square foot), weighted-average discount rates ranging from 3.3% to 5.5% and a market participant tax rate of 25%. No other impairments of right-of-use assets were indicated.</w:t>
      </w:r>
    </w:p>
    <w:p>
      <w:pPr>
        <w:spacing w:after="0" w:line="23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Fixed assets, at cost</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Fixed assets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92.3</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Payables and Accrued Liabilities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Payables and accrued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463.2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283.4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213.1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and accrued liabilities</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746.6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634.6</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8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A prior owner of one of the Company’s consolidated Affiliates retains interests in certain of the Affiliate’s private equity partnerships and, as a result, is a related party of the Company. The prior owner’s interests are presented in Other liabilities and were $49.7 million and $38.5 million as of December 31, 2018 and 2019, respectively.</w:t>
      </w:r>
    </w:p>
    <w:p>
      <w:pPr>
        <w:spacing w:after="0" w:line="23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and its Affiliates earn asset and performance based fees and incur distribution and other expenses for services provided to Affiliate sponsored investment products. In addition, Affiliate management owners and the Company’s officers may serve as trustees or directors of certain investment vehicles from which the Company or an Affiliate earns fees.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related party transactions in association with its Affiliate equity transactions, as more fully described in Notes 17 and 18.</w:t>
      </w:r>
    </w:p>
    <w:p>
      <w:pPr>
        <w:spacing w:after="0" w:line="2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executive officers and directors may invest from time to time in funds advised by its Affiliates on substantially the same terms as other investors.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150.0 million shares of voting common stock and 3.0 million shares of class B non-voting common stock. The Company is party to an equity distribution program under which the Company may sell shares of its common stock.</w:t>
      </w:r>
    </w:p>
    <w:p>
      <w:pPr>
        <w:sectPr>
          <w:pgSz w:w="11900" w:h="16838" w:orient="portrait"/>
          <w:cols w:equalWidth="0" w:num="1">
            <w:col w:w="11420"/>
          </w:cols>
          <w:pgMar w:left="240" w:top="125" w:right="239" w:bottom="933"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933"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Company’s Board of Directors authorized share repurchase programs in October 2019, January 2019 and January 2018, authorizing the Company to repurchase up to 6.0 million, 3.3 million and 3.4 million shares of its common stock, respectively, and these authorizations have no expiry. Purchases may be made from time to time, at management’s discretion, in the open market or in privately negotiated transactions, including through the use of derivative financial instruments and accelerated share repurchase programs. As of December 31, 2019, there were a total of 6.9 million shares available for repurchase under the Company’s October 2019 and January 2019 share repurchase programs, and no shares remained under the January 2018 program.</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share repurchase activity: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8820" w:type="dxa"/>
            <w:vAlign w:val="bottom"/>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Repurchased</w:t>
            </w:r>
          </w:p>
        </w:tc>
        <w:tc>
          <w:tcPr>
            <w:tcW w:w="260" w:type="dxa"/>
            <w:vAlign w:val="bottom"/>
          </w:tcPr>
          <w:p>
            <w:pPr>
              <w:spacing w:after="0"/>
              <w:rPr>
                <w:sz w:val="16"/>
                <w:szCs w:val="16"/>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173.19</w:t>
            </w:r>
          </w:p>
        </w:tc>
        <w:tc>
          <w:tcPr>
            <w:tcW w:w="0" w:type="dxa"/>
            <w:vAlign w:val="bottom"/>
          </w:tcPr>
          <w:p>
            <w:pPr>
              <w:spacing w:after="0"/>
              <w:rPr>
                <w:sz w:val="1"/>
                <w:szCs w:val="1"/>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8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2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entered into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As of December 31, 2019, no sales had occurred under the equity distribution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79"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Plans</w:t>
      </w:r>
    </w:p>
    <w:p>
      <w:pPr>
        <w:spacing w:after="0" w:line="2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accrue in cash or may be reinvested in the Company’s common stock.</w:t>
      </w:r>
    </w:p>
    <w:p>
      <w:pPr>
        <w:spacing w:after="0" w:line="24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total fair value of share-based compensation awards that vested was $59.4 million, $5.9 million and $18.9 million during the years ended December 31, 2017, 2018 and 2019,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share-based compensation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Share-Based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10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Tax Benefit</w:t>
            </w:r>
          </w:p>
        </w:tc>
        <w:tc>
          <w:tcPr>
            <w:tcW w:w="0" w:type="dxa"/>
            <w:vAlign w:val="bottom"/>
          </w:tcPr>
          <w:p>
            <w:pPr>
              <w:spacing w:after="0"/>
              <w:rPr>
                <w:sz w:val="1"/>
                <w:szCs w:val="1"/>
                <w:color w:val="auto"/>
              </w:rPr>
            </w:pPr>
          </w:p>
        </w:tc>
      </w:tr>
      <w:tr>
        <w:trPr>
          <w:trHeight w:val="192"/>
        </w:trPr>
        <w:tc>
          <w:tcPr>
            <w:tcW w:w="8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79"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879"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excess tax benefit (deficiency) recognized from share-based incentive plans was $10.9 million, $0.7 million and ($3.2) million, respectively, for the years ended December 31, 2017, 2018 and 2019.</w:t>
      </w:r>
    </w:p>
    <w:p>
      <w:pPr>
        <w:spacing w:after="0" w:line="22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December 31, 2018, the Company had unrecognized share-based compensation expense of $54.1 million. As of December 31, 2019, the Company had $106.6 million of unrecognized share-based compensation, which will be recognized over a weighted average period of approximately three years (assuming no forfeitures).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restricted stock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640" w:type="dxa"/>
            <w:vAlign w:val="bottom"/>
          </w:tcPr>
          <w:p>
            <w:pPr>
              <w:spacing w:after="0"/>
              <w:rPr>
                <w:sz w:val="12"/>
                <w:szCs w:val="12"/>
                <w:color w:val="auto"/>
              </w:rPr>
            </w:pPr>
          </w:p>
        </w:tc>
        <w:tc>
          <w:tcPr>
            <w:tcW w:w="10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6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units—December 31, 2018</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Units granted</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 vested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Units 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units—December 31, 2019</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granted restricted stock unit awards with fair values of $36.9 million, $37.7 million and $59.7 million for the years ended December 31, 2017, 2018 and 2019, respectively. These restricted stock units were valued based on the closing price of the Company’s common stock on the grant date and the number of shares expected to be delivered. Restricted stock units containing vesting conditions generally require service over a period of three years to four years and may also require the satisfaction of certain performance conditions. For certain of the Company’s awards with performance conditions, the number of restricted stock units expected to vest may change over time depending upon the performance level achieved. For the year ended December 31, 2019, units granted includes a 0.1 million increase in the Company’s estimate of the number of shares expected to vest.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Company had 0.2 million shares available for grant under its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Unexercised options outstanding—December 31, 2018</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Unexercised options outstanding—December 31, 2019</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85.58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131.50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granted stock options with fair values of $0.8 million, $1.0 million and $34.2 million for the years ended December 31, 2017, 2018 and 2019, respectively. Stock options generally vest over a period of three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certain of the Company’s awards with performance conditions, the number of stock options expected to vest may change over time depending upon the performance level achieved. For the year ended December 31, 2019, there were no changes in the Company’s estimate of the number of stock options expected to vest.</w:t>
      </w:r>
    </w:p>
    <w:p>
      <w:pPr>
        <w:spacing w:after="0" w:line="9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Company generally uses treasury stock to settle stock option exercises. The total intrinsic value of stock options exercised during the years ended December 31, 2017, 2018 and 2019 was $50.8 million, $8.2 million and $0.2 million, respectively. The cash received for stock options exercised was $41.9 million, $9.7 million and $0.9 million during the years</w:t>
      </w:r>
    </w:p>
    <w:p>
      <w:pPr>
        <w:sectPr>
          <w:pgSz w:w="11900" w:h="16838" w:orient="portrait"/>
          <w:cols w:equalWidth="0" w:num="1">
            <w:col w:w="11420"/>
          </w:cols>
          <w:pgMar w:left="240" w:top="125" w:right="239" w:bottom="1041"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041"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ended December 31, 2017, 2018 and 2019, respectively. As of December 31, 2019, the exercisable stock options outstanding had no intrinsic value and 0.3 million options were available for grant under the Company’s option plans.</w:t>
      </w:r>
    </w:p>
    <w:p>
      <w:pPr>
        <w:spacing w:after="0" w:line="2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weighted average fair value of stock options was $48.05, $48.64 and $18.36, per option, for the years ended December 31, 2017, 2018 and 2019, respectively. The Company uses the Black-Scholes option pricing model to determine the fair value of options. The weighted average grant date assumptions used to estimate the fair value of stock options granted were as follows:</w:t>
      </w:r>
    </w:p>
    <w:p>
      <w:pPr>
        <w:spacing w:after="0" w:line="119"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2"/>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8"/>
                <w:szCs w:val="18"/>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28.0%</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8"/>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8"/>
                <w:szCs w:val="18"/>
                <w:color w:val="auto"/>
                <w:vertAlign w:val="superscript"/>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2"/>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18"/>
                <w:szCs w:val="18"/>
                <w:color w:val="auto"/>
                <w:vertAlign w:val="superscript"/>
              </w:rPr>
              <w:t>(3)</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5.7</w:t>
            </w:r>
          </w:p>
        </w:tc>
      </w:tr>
      <w:tr>
        <w:trPr>
          <w:trHeight w:val="251"/>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Forfeiture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7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gridSpan w:val="2"/>
          </w:tcPr>
          <w:p>
            <w:pPr>
              <w:spacing w:after="0"/>
              <w:rPr>
                <w:sz w:val="20"/>
                <w:szCs w:val="20"/>
                <w:color w:val="auto"/>
              </w:rPr>
            </w:pPr>
            <w:r>
              <w:rPr>
                <w:rFonts w:ascii="Arial" w:cs="Arial" w:eastAsia="Arial" w:hAnsi="Arial"/>
                <w:sz w:val="14"/>
                <w:szCs w:val="14"/>
                <w:color w:val="auto"/>
              </w:rPr>
              <w:t>__________________________</w:t>
            </w:r>
          </w:p>
        </w:tc>
        <w:tc>
          <w:tcPr>
            <w:tcW w:w="0" w:type="dxa"/>
            <w:vAlign w:val="bottom"/>
          </w:tcPr>
          <w:p>
            <w:pPr>
              <w:spacing w:after="0"/>
              <w:rPr>
                <w:sz w:val="1"/>
                <w:szCs w:val="1"/>
                <w:color w:val="auto"/>
              </w:rPr>
            </w:pPr>
          </w:p>
        </w:tc>
      </w:tr>
      <w:tr>
        <w:trPr>
          <w:trHeight w:val="268"/>
        </w:trPr>
        <w:tc>
          <w:tcPr>
            <w:tcW w:w="220" w:type="dxa"/>
            <w:vAlign w:val="bottom"/>
          </w:tcPr>
          <w:p>
            <w:pPr>
              <w:spacing w:after="0"/>
              <w:rPr>
                <w:sz w:val="20"/>
                <w:szCs w:val="20"/>
                <w:color w:val="auto"/>
              </w:rPr>
            </w:pPr>
            <w:r>
              <w:rPr>
                <w:rFonts w:ascii="Arial" w:cs="Arial" w:eastAsia="Arial" w:hAnsi="Arial"/>
                <w:sz w:val="9"/>
                <w:szCs w:val="9"/>
                <w:color w:val="auto"/>
              </w:rPr>
              <w:t>(1)</w:t>
            </w:r>
          </w:p>
        </w:tc>
        <w:tc>
          <w:tcPr>
            <w:tcW w:w="7580" w:type="dxa"/>
            <w:vAlign w:val="bottom"/>
            <w:vMerge w:val="restart"/>
          </w:tcPr>
          <w:p>
            <w:pPr>
              <w:ind w:left="120"/>
              <w:spacing w:after="0"/>
              <w:rPr>
                <w:sz w:val="20"/>
                <w:szCs w:val="20"/>
                <w:color w:val="auto"/>
              </w:rPr>
            </w:pPr>
            <w:r>
              <w:rPr>
                <w:rFonts w:ascii="Arial" w:cs="Arial" w:eastAsia="Arial" w:hAnsi="Arial"/>
                <w:sz w:val="18"/>
                <w:szCs w:val="18"/>
                <w:color w:val="auto"/>
              </w:rPr>
              <w:t>Expected volatility is based on historical and implied volatility.</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7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0"/>
                <w:szCs w:val="20"/>
                <w:color w:val="auto"/>
              </w:rPr>
            </w:pPr>
            <w:r>
              <w:rPr>
                <w:rFonts w:ascii="Arial" w:cs="Arial" w:eastAsia="Arial" w:hAnsi="Arial"/>
                <w:sz w:val="9"/>
                <w:szCs w:val="9"/>
                <w:color w:val="auto"/>
              </w:rPr>
              <w:t>(2)</w:t>
            </w:r>
          </w:p>
        </w:tc>
        <w:tc>
          <w:tcPr>
            <w:tcW w:w="7580" w:type="dxa"/>
            <w:vAlign w:val="bottom"/>
            <w:vMerge w:val="restart"/>
          </w:tcPr>
          <w:p>
            <w:pPr>
              <w:ind w:left="120"/>
              <w:spacing w:after="0"/>
              <w:rPr>
                <w:sz w:val="20"/>
                <w:szCs w:val="20"/>
                <w:color w:val="auto"/>
              </w:rPr>
            </w:pPr>
            <w:r>
              <w:rPr>
                <w:rFonts w:ascii="Arial" w:cs="Arial" w:eastAsia="Arial" w:hAnsi="Arial"/>
                <w:sz w:val="18"/>
                <w:szCs w:val="18"/>
                <w:color w:val="auto"/>
              </w:rPr>
              <w:t>Risk-free interest rate is based on the U.S. Treasury yield curve in effect at the date of grant.</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7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0"/>
                <w:szCs w:val="20"/>
                <w:color w:val="auto"/>
              </w:rPr>
            </w:pPr>
            <w:r>
              <w:rPr>
                <w:rFonts w:ascii="Arial" w:cs="Arial" w:eastAsia="Arial" w:hAnsi="Arial"/>
                <w:sz w:val="9"/>
                <w:szCs w:val="9"/>
                <w:color w:val="auto"/>
              </w:rPr>
              <w:t>(3)</w:t>
            </w:r>
          </w:p>
        </w:tc>
        <w:tc>
          <w:tcPr>
            <w:tcW w:w="7580" w:type="dxa"/>
            <w:vAlign w:val="bottom"/>
            <w:vMerge w:val="restart"/>
          </w:tcPr>
          <w:p>
            <w:pPr>
              <w:ind w:left="120"/>
              <w:spacing w:after="0"/>
              <w:rPr>
                <w:sz w:val="20"/>
                <w:szCs w:val="20"/>
                <w:color w:val="auto"/>
              </w:rPr>
            </w:pPr>
            <w:r>
              <w:rPr>
                <w:rFonts w:ascii="Arial" w:cs="Arial" w:eastAsia="Arial" w:hAnsi="Arial"/>
                <w:sz w:val="18"/>
                <w:szCs w:val="18"/>
                <w:color w:val="auto"/>
                <w:w w:val="89"/>
              </w:rPr>
              <w:t>Expected life of options (in years) is based on the Company’s historical and expected exercise behavior.</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7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Redeemable Non-Controlling Interests</w:t>
      </w:r>
    </w:p>
    <w:p>
      <w:pPr>
        <w:spacing w:after="0" w:line="14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or on an annual basis following an Affiliate equity holder’s departure). Prior to becoming redeemable, the value of the Company’s Affiliate equity is presented within Non-controlling interests. Upon becoming redeemable, the value of these interests is reclassified and the current redemption value of these interests is presented as Redeemable non-controlling interests. Changes in the current redemption value are recorded to Additional paid-in capital. When the Company receives a put notice, and, therefore, has an unconditional obligation to repurchase Affiliate equity interests, they are reclassified to Other liabilities. The following table presents the changes in Redeemable non-controlling interests: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Redeemable Non-controlling Interests</w:t>
            </w:r>
          </w:p>
        </w:tc>
      </w:tr>
      <w:tr>
        <w:trPr>
          <w:trHeight w:val="264"/>
        </w:trPr>
        <w:tc>
          <w:tcPr>
            <w:tcW w:w="85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r>
              <w:rPr>
                <w:rFonts w:ascii="Arial" w:cs="Arial" w:eastAsia="Arial" w:hAnsi="Arial"/>
                <w:sz w:val="18"/>
                <w:szCs w:val="18"/>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attributable to consolidated Affiliate sponsored investment products</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to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Transfers from Non-controlling interests</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redemption value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r>
      <w:tr>
        <w:trPr>
          <w:trHeight w:val="262"/>
        </w:trPr>
        <w:tc>
          <w:tcPr>
            <w:tcW w:w="8580" w:type="dxa"/>
            <w:vAlign w:val="bottom"/>
          </w:tcPr>
          <w:p>
            <w:pPr>
              <w:ind w:left="40"/>
              <w:spacing w:after="0"/>
              <w:rPr>
                <w:sz w:val="20"/>
                <w:szCs w:val="20"/>
                <w:color w:val="auto"/>
              </w:rPr>
            </w:pPr>
            <w:r>
              <w:rPr>
                <w:rFonts w:ascii="Arial" w:cs="Arial" w:eastAsia="Arial" w:hAnsi="Arial"/>
                <w:sz w:val="18"/>
                <w:szCs w:val="18"/>
                <w:color w:val="auto"/>
              </w:rPr>
              <w:t>Balance, end of period</w:t>
            </w:r>
            <w:r>
              <w:rPr>
                <w:rFonts w:ascii="Arial" w:cs="Arial" w:eastAsia="Arial" w:hAnsi="Arial"/>
                <w:sz w:val="18"/>
                <w:szCs w:val="18"/>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916.7</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81" w:lineRule="exact"/>
        <w:rPr>
          <w:sz w:val="20"/>
          <w:szCs w:val="20"/>
          <w:color w:val="auto"/>
        </w:rPr>
      </w:pPr>
    </w:p>
    <w:p>
      <w:pPr>
        <w:ind w:left="340" w:right="500" w:hanging="332"/>
        <w:spacing w:after="0" w:line="277" w:lineRule="auto"/>
        <w:tabs>
          <w:tab w:leader="none" w:pos="340" w:val="left"/>
        </w:tabs>
        <w:numPr>
          <w:ilvl w:val="0"/>
          <w:numId w:val="43"/>
        </w:numPr>
        <w:rPr>
          <w:rFonts w:ascii="Arial" w:cs="Arial" w:eastAsia="Arial" w:hAnsi="Arial"/>
          <w:sz w:val="18"/>
          <w:szCs w:val="18"/>
          <w:color w:val="auto"/>
          <w:vertAlign w:val="superscript"/>
        </w:rPr>
      </w:pPr>
      <w:r>
        <w:rPr>
          <w:rFonts w:ascii="Arial" w:cs="Arial" w:eastAsia="Arial" w:hAnsi="Arial"/>
          <w:sz w:val="18"/>
          <w:szCs w:val="18"/>
          <w:color w:val="auto"/>
        </w:rPr>
        <w:t>As of December 31, 2018 and 2019, Redeemable non-controlling interests includes consolidated Affiliate sponsored investment products primarily attributable to third-party investors of $91.0 million and $21.6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Affiliate Equity</w:t>
      </w:r>
    </w:p>
    <w:p>
      <w:pPr>
        <w:spacing w:after="0" w:line="148"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Affiliate equity holders (non-controlling interests) were $352.2 million, $370.5 million and $347.9 million for the years ended December 31, 2017, 2018 and 2019, respectively.</w:t>
      </w:r>
    </w:p>
    <w:p>
      <w:pPr>
        <w:sectPr>
          <w:pgSz w:w="11900" w:h="16838" w:orient="portrait"/>
          <w:cols w:equalWidth="0" w:num="1">
            <w:col w:w="11420"/>
          </w:cols>
          <w:pgMar w:left="240" w:top="125"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Affiliate equity interests provide the Company a conditional right to call (on an annual basis following an Affiliate equity holder’s departure) and Affiliate equity holders have a conditional right to put their interests at certain intervals (between five years and 15 years from the date the equity interest is received or on an annual basis following an Affiliate equity holder’s departure). Affiliate equity holders are also permitted to sell their equity interests to other individuals or entities in certain cases, subject to the Company's approval or other restrictions. The purchase price of these conditional purchases are generally calculated based upon a multiple of cash flow distributions, which is intended to represent fair value. The Company, at its option, may pay for Affiliate equity purchases in cash, shares of its common stock or other forms of consideration, and can consent to the transfer of these interests to other individuals or entities.</w:t>
      </w:r>
    </w:p>
    <w:p>
      <w:pPr>
        <w:spacing w:after="0" w:line="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periodically repurchases Affiliate equity from and issues Affiliate equity to the Company’s consolidated Affiliate partners and its officers under agreements that provide the Company with a conditional right to call and Affiliate equity holders with a conditional right to put their Affiliate equity interests to the Company at certain intervals. The amount of cash paid for repurchases was $174.7 million, $120.0 million and $146.0 million for the years ended December 31, 2017, 2018 and 2019, respectively. The total amount of cash received for issuances was $9.0 million, $6.3 million and $10.5 million for the years ended December 31, 2017, 2018 and 2019, respectively.</w:t>
      </w:r>
    </w:p>
    <w:p>
      <w:pPr>
        <w:spacing w:after="0" w:line="10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Sales and repurchases of Affiliate equity generally occur at fair value; however, the Company also grants Affiliate equity to its consolidated Affiliate partners and its officers as a form of compensation. If the equity is issued for consideration below the fair value of the equity, or repurchased for consideration above the fair value of the equity, the difference is recorded as compensation expense in Compensation and related expenses in the Consolidated Statements of Income over the requisite service period.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Affiliate equity compensation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unrecognized Affiliate equity compensation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Controlling Interest</w:t>
            </w:r>
          </w:p>
        </w:tc>
        <w:tc>
          <w:tcPr>
            <w:tcW w:w="120" w:type="dxa"/>
            <w:vAlign w:val="bottom"/>
            <w:vMerge w:val="restart"/>
          </w:tcPr>
          <w:p>
            <w:pPr>
              <w:spacing w:after="0"/>
              <w:rPr>
                <w:sz w:val="14"/>
                <w:szCs w:val="14"/>
                <w:color w:val="auto"/>
              </w:rPr>
            </w:pP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w:t>
            </w: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w w:val="98"/>
              </w:rPr>
              <w:t>5 years  $</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620" w:type="dxa"/>
            <w:vAlign w:val="bottom"/>
            <w:gridSpan w:val="3"/>
          </w:tcPr>
          <w:p>
            <w:pPr>
              <w:ind w:left="820"/>
              <w:spacing w:after="0"/>
              <w:rPr>
                <w:sz w:val="20"/>
                <w:szCs w:val="20"/>
                <w:color w:val="auto"/>
              </w:rPr>
            </w:pPr>
            <w:r>
              <w:rPr>
                <w:rFonts w:ascii="Arial" w:cs="Arial" w:eastAsia="Arial" w:hAnsi="Arial"/>
                <w:sz w:val="18"/>
                <w:szCs w:val="18"/>
                <w:color w:val="auto"/>
              </w:rPr>
              <w:t>5 years</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4 years</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records amounts receivable from, and payable to, Affiliate equity holders in connection with the transfer of Affiliate equity interests that have not settled at the end of the period and other related transactions. The total receivable was $16.2 million and $14.8 million as of December 31, 2018 and 2019, respectively, and was included in Other assets. The total payable was $36.2 million and $19.8 million as of December 31, 2018 and 2019, respectively, and was included in Other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of Changes in the Company’s Ownership in Affiliates</w:t>
      </w:r>
    </w:p>
    <w:p>
      <w:pPr>
        <w:spacing w:after="0" w:line="144"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recorded in the Consolidated Statements of Income or the Consolidated Statements of Comprehensive Income.</w:t>
      </w:r>
    </w:p>
    <w:p>
      <w:pPr>
        <w:spacing w:after="0" w:line="20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equity transactions that settled during the applicable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 in controlling interest paid-in capital from Affiliate equity issuances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controlling interest paid-in capital from Affiliate equity repurchases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 (controlling interest) including the net impact of Affiliate equity transactions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Benefit Plans</w:t>
      </w:r>
    </w:p>
    <w:p>
      <w:pPr>
        <w:spacing w:after="0" w:line="28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limits. The Company’s consolidated Affiliates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Internal Revenue Service limits. Consolidated expenses related to these plans were $20.1 million, $20.8 million and $19.4 million for the years ended December 31, 2017, 2018 and 2019, respectively. The controlling interest’s portion of expenses related to these plans were $3.9 million, $4.8 million and $3.6 million for the years ended December 31, 2017, 2018 and 2019,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48" w:lineRule="exact"/>
        <w:rPr>
          <w:sz w:val="20"/>
          <w:szCs w:val="20"/>
          <w:color w:val="auto"/>
        </w:rPr>
      </w:pPr>
    </w:p>
    <w:p>
      <w:pPr>
        <w:ind w:left="40" w:right="200" w:firstLine="243"/>
        <w:spacing w:after="0" w:line="277" w:lineRule="auto"/>
        <w:rPr>
          <w:sz w:val="20"/>
          <w:szCs w:val="20"/>
          <w:color w:val="auto"/>
        </w:rPr>
      </w:pPr>
      <w:r>
        <w:rPr>
          <w:rFonts w:ascii="Arial" w:cs="Arial" w:eastAsia="Arial" w:hAnsi="Arial"/>
          <w:sz w:val="18"/>
          <w:szCs w:val="18"/>
          <w:color w:val="auto"/>
        </w:rPr>
        <w:t>The Company’s consolidated income tax provision includes taxes attributable to the controlling interest and, to a lesser extent, taxes attributable to non-controlling interests.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consolidated 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612"/>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Current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46.5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Intangible-related 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(51.3)</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Other deferred taxes</w:t>
            </w: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(4.3)</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12.2</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12.0</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2.9</w:t>
            </w:r>
          </w:p>
        </w:tc>
      </w:tr>
      <w:tr>
        <w:trPr>
          <w:trHeight w:val="251"/>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(controlling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6.6</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8"/>
        </w:trPr>
        <w:tc>
          <w:tcPr>
            <w:tcW w:w="7860" w:type="dxa"/>
            <w:vAlign w:val="bottom"/>
          </w:tcPr>
          <w:p>
            <w:pPr>
              <w:ind w:left="40"/>
              <w:spacing w:after="0"/>
              <w:rPr>
                <w:sz w:val="20"/>
                <w:szCs w:val="20"/>
                <w:color w:val="auto"/>
              </w:rPr>
            </w:pPr>
            <w:r>
              <w:rPr>
                <w:rFonts w:ascii="Arial" w:cs="Arial" w:eastAsia="Arial" w:hAnsi="Arial"/>
                <w:sz w:val="18"/>
                <w:szCs w:val="18"/>
                <w:color w:val="auto"/>
              </w:rPr>
              <w:t>Effective tax rate (controlling interest)</w:t>
            </w:r>
            <w:r>
              <w:rPr>
                <w:rFonts w:ascii="Arial" w:cs="Arial" w:eastAsia="Arial" w:hAnsi="Arial"/>
                <w:sz w:val="18"/>
                <w:szCs w:val="18"/>
                <w:color w:val="auto"/>
                <w:vertAlign w:val="superscript"/>
              </w:rPr>
              <w:t>(1)</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182"/>
        </w:trPr>
        <w:tc>
          <w:tcPr>
            <w:tcW w:w="786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0" w:lineRule="exact"/>
        <w:rPr>
          <w:sz w:val="20"/>
          <w:szCs w:val="20"/>
          <w:color w:val="auto"/>
        </w:rPr>
      </w:pPr>
    </w:p>
    <w:p>
      <w:pPr>
        <w:ind w:left="340" w:right="3480" w:hanging="332"/>
        <w:spacing w:after="0" w:line="501" w:lineRule="auto"/>
        <w:tabs>
          <w:tab w:leader="none" w:pos="340" w:val="left"/>
        </w:tabs>
        <w:numPr>
          <w:ilvl w:val="0"/>
          <w:numId w:val="44"/>
        </w:numPr>
        <w:rPr>
          <w:rFonts w:ascii="Arial" w:cs="Arial" w:eastAsia="Arial" w:hAnsi="Arial"/>
          <w:sz w:val="18"/>
          <w:szCs w:val="18"/>
          <w:color w:val="auto"/>
          <w:vertAlign w:val="superscript"/>
        </w:rPr>
      </w:pPr>
      <w:r>
        <w:rPr>
          <w:rFonts w:ascii="Arial" w:cs="Arial" w:eastAsia="Arial" w:hAnsi="Arial"/>
          <w:sz w:val="18"/>
          <w:szCs w:val="18"/>
          <w:color w:val="auto"/>
        </w:rPr>
        <w:t>Taxes attributable to the controlling interest divided by Income before income taxes (controlling interest). The consolidated provision for income taxes consisted of the following:</w:t>
      </w:r>
    </w:p>
    <w:p>
      <w:pPr>
        <w:sectPr>
          <w:pgSz w:w="11900" w:h="16838" w:orient="portrait"/>
          <w:cols w:equalWidth="0" w:num="1">
            <w:col w:w="11420"/>
          </w:cols>
          <w:pgMar w:left="240" w:top="125"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340"/>
              <w:spacing w:after="0"/>
              <w:rPr>
                <w:sz w:val="20"/>
                <w:szCs w:val="20"/>
                <w:color w:val="auto"/>
              </w:rPr>
            </w:pPr>
            <w:r>
              <w:rPr>
                <w:rFonts w:ascii="Arial" w:cs="Arial" w:eastAsia="Arial" w:hAnsi="Arial"/>
                <w:sz w:val="18"/>
                <w:szCs w:val="18"/>
                <w:color w:val="auto"/>
              </w:rPr>
              <w:t>For financial reporting purposes, Income before income taxes consisted of the following:</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7"/>
              </w:rPr>
              <w:t>The following table reconciles the U.S. federal statutory tax rate to the Company’s effective tax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20" w:type="dxa"/>
            <w:vAlign w:val="bottom"/>
          </w:tcPr>
          <w:p>
            <w:pPr>
              <w:spacing w:after="0"/>
              <w:rPr>
                <w:sz w:val="21"/>
                <w:szCs w:val="21"/>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1"/>
              </w:rPr>
              <w:t>(471.2)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Compensation plans</w:t>
            </w:r>
          </w:p>
        </w:tc>
        <w:tc>
          <w:tcPr>
            <w:tcW w:w="1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tax laws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Changes in valuation allowances</w:t>
            </w:r>
          </w:p>
        </w:tc>
        <w:tc>
          <w:tcPr>
            <w:tcW w:w="120" w:type="dxa"/>
            <w:vAlign w:val="bottom"/>
          </w:tcPr>
          <w:p>
            <w:pPr>
              <w:spacing w:after="0"/>
              <w:rPr>
                <w:sz w:val="21"/>
                <w:szCs w:val="21"/>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1"/>
              </w:rPr>
              <w:t>(107.2)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Affiliate divestments</w:t>
            </w:r>
          </w:p>
        </w:tc>
        <w:tc>
          <w:tcPr>
            <w:tcW w:w="120" w:type="dxa"/>
            <w:vAlign w:val="bottom"/>
          </w:tcPr>
          <w:p>
            <w:pPr>
              <w:spacing w:after="0"/>
              <w:rPr>
                <w:sz w:val="21"/>
                <w:szCs w:val="21"/>
                <w:color w:val="auto"/>
              </w:rPr>
            </w:pPr>
          </w:p>
        </w:tc>
        <w:tc>
          <w:tcPr>
            <w:tcW w:w="10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1"/>
              </w:rPr>
              <w:t>(120.4)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 in carrying value of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Changes in U.S. tax provision to return</w:t>
            </w:r>
          </w:p>
        </w:tc>
        <w:tc>
          <w:tcPr>
            <w:tcW w:w="1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1"/>
              </w:rPr>
              <w:t>(195.7)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color w:val="auto"/>
              </w:rPr>
              <w:t>Effective tax rate (controlling interest)</w:t>
            </w: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(137.0)%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income from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57"/>
        </w:trPr>
        <w:tc>
          <w:tcPr>
            <w:tcW w:w="782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effective tax rate (controlling interest) in 2017 is lower than the marginal tax rate primarily due to a $194.1 million tax benefit due to changes in U.S. tax laws. The effective tax rate (controlling interest) in 2018 is higher than the marginal tax rate primarily due to a $240.0 million expense recorded to reduce the carrying value to fair value of one of the Company’s Affiliates for which the Company did not recognize an income tax benefit. The effective tax rate (controlling interest) in 2019 is lower than the marginal tax rate primarily due to lower Income before income taxes, as a result of increased Intangible amortization and impairments expense, and tax benefits related to an Affiliate divestment.</w:t>
      </w:r>
    </w:p>
    <w:p>
      <w:pPr>
        <w:sectPr>
          <w:pgSz w:w="11900" w:h="16838" w:orient="portrait"/>
          <w:cols w:equalWidth="0" w:num="1">
            <w:col w:w="11420"/>
          </w:cols>
          <w:pgMar w:left="240" w:top="125"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Deferred income tax liability (net) reflects the expected future tax consequences of temporary differences between the financial reporting bases and tax bases of the Company’s assets and liabilities. The significant components of the Company’s Deferred income tax liability (net)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net operating loss carryforwards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Foreign loss carryforwards</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uncertain tax positions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Non-deductible intangible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convertible securities interest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926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2"/>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liability (net)</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22" w:lineRule="exact"/>
        <w:rPr>
          <w:sz w:val="20"/>
          <w:szCs w:val="20"/>
          <w:color w:val="auto"/>
        </w:rPr>
      </w:pPr>
    </w:p>
    <w:p>
      <w:pPr>
        <w:ind w:left="340" w:right="20" w:hanging="332"/>
        <w:spacing w:after="0" w:line="27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8"/>
          <w:szCs w:val="18"/>
          <w:color w:val="auto"/>
        </w:rPr>
        <w:t>As of December 31, 2019, the foreign loss carryforwards of $17.7 million, net of a $2.3 million valuation allowance, are presented in Other assets as they represent a net deferred tax asset position in a foreign jurisdiction.</w:t>
      </w:r>
    </w:p>
    <w:p>
      <w:pPr>
        <w:spacing w:after="0" w:line="18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As of December 31, 2019, the Company had available state net operating loss carryforwards of $245.9 million, a majority of which will expire over ten years to 15 years. As of December 31, 2019, the Company had foreign loss carryforwards of $66.9 million, of which $57.6 million will expire over 20 years and $9.3 million will carry forward indefinitely.</w:t>
      </w:r>
    </w:p>
    <w:p>
      <w:pPr>
        <w:spacing w:after="0" w:line="19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 believed it was more-likely-than-not that the benefit from certain state and foreign loss carryforwards would not be fully realized, and, as of December 31, 2019, had valuation allowances of $12.0 million and $2.3 million on the state and foreign loss carryforwards, respectively. For the years ended December 31, 2018 and 2019, there was no change and a $7.2 million reduction in the valuation allowances, respectively.</w:t>
      </w:r>
    </w:p>
    <w:p>
      <w:pPr>
        <w:spacing w:after="0" w:line="16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Company’s estimates and assumptions regarding the realization of its state and foreign loss carryforwards do not contemplate certain changes in ownership of the Company’s stock which could limit the utilization of these carryforwards.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does not provide for U.S. income taxes on the excess of the financial reporting bases over tax bases in the Company’s investments in foreign subsidiaries considered permanent in duration. Such amount would generally become 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2019, the estimated amount of such difference was $249.4 million.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changes in unrecognized tax benefits is as follows: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based on current year tax positions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prior years’ tax positions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Reduction for prior years’ tax positions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related to lapses of statutes of limitations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(reductions) related to foreign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65.4</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Included in the balance of unrecognized tax benefits as of December 31, 2017, 2018 and 2019 were $32.4 million, $33.1 million and $65.4 million, respectively, of tax benefits that, if recognized, would favorably affect the Company’s effective tax rate (controlling interest). As of December 31, 2019, certain of these benefits, if realized, would be offset by the utilization of indirect tax benefits, for which the Company has accrued deferred tax assets of $27.4 million.</w:t>
      </w:r>
    </w:p>
    <w:p>
      <w:pPr>
        <w:spacing w:after="0" w:line="10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records accrued interest and penalties, if any, related to unrecognized tax benefits in Income tax expense. For the years ended December 31, 2017, 2018 and 2019, interest and penalties related to unrecognized tax benefits were $0.3 million, $0.4 million and $8.4 million, respectively. As of December 31, 2018 and 2019, the Company had accrued interest and penalties related to unrecognized tax benefits of $2.1 million and $10.5 million, respectively.</w:t>
      </w:r>
    </w:p>
    <w:p>
      <w:pPr>
        <w:spacing w:after="0" w:line="10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Company is subject to U.S. federal, state and local, and foreign income tax in multiple jurisdictions and is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w:t>
      </w:r>
    </w:p>
    <w:p>
      <w:pPr>
        <w:spacing w:after="0" w:line="2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 The following is a reconciliation of the numerator and denominator used in the calculation of basic and diluted earnings per share available to common stockholders: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junior convertible securities, net of taxes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(controlling interest), as adjusted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705.0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 options and restricted stock units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convertible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Average shares outstanding (diluted) in the table above excludes share-based awards that have not satisfied applicable performance conditions and the anti-dilutive effect of the following:</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Junior convertible securities</w:t>
            </w:r>
          </w:p>
        </w:tc>
        <w:tc>
          <w:tcPr>
            <w:tcW w:w="1160" w:type="dxa"/>
            <w:vAlign w:val="bottom"/>
            <w:gridSpan w:val="3"/>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2.2</w:t>
            </w:r>
          </w:p>
        </w:tc>
      </w:tr>
    </w:tbl>
    <w:p>
      <w:pPr>
        <w:spacing w:after="0" w:line="36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 may settle portions of its Affiliate equity purchases in shares of its common stock. Because it is the Company’s intention to settle these potential purchases in cash, the calculation of Average shares outstanding (diluted) excludes any potential dilutive effect from possible share settlements of Affiliate equity purchases.</w:t>
      </w:r>
    </w:p>
    <w:p>
      <w:pPr>
        <w:spacing w:after="0" w:line="23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tax effects allocated to each component of Other comprehensive income (loss):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 Ended December 31, 2017</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Pre-Tax</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Tax Benefit</w:t>
            </w:r>
          </w:p>
        </w:tc>
        <w:tc>
          <w:tcPr>
            <w:tcW w:w="180" w:type="dxa"/>
            <w:vAlign w:val="bottom"/>
          </w:tcPr>
          <w:p>
            <w:pPr>
              <w:spacing w:after="0"/>
              <w:rPr>
                <w:sz w:val="13"/>
                <w:szCs w:val="13"/>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(Expense)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gain (loss) on investment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 Ended December 31, 2018</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Pre-Tax</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Tax Expense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 Ended December 31, 2019</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Pre-Tax</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Tax Benefit</w:t>
            </w:r>
          </w:p>
        </w:tc>
        <w:tc>
          <w:tcPr>
            <w:tcW w:w="180" w:type="dxa"/>
            <w:vAlign w:val="bottom"/>
          </w:tcPr>
          <w:p>
            <w:pPr>
              <w:spacing w:after="0"/>
              <w:rPr>
                <w:sz w:val="13"/>
                <w:szCs w:val="13"/>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(Expense)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realized and unrealized gain on derivative financial instruments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color w:val="auto"/>
                <w:w w:val="92"/>
              </w:rPr>
              <w:t>The components of accumulated other comprehensive income (loss), net of taxes, were as follows:</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6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Realized and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 Gains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(Losses) on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2"/>
                <w:szCs w:val="12"/>
                <w:color w:val="auto"/>
              </w:rPr>
            </w:pPr>
          </w:p>
        </w:tc>
        <w:tc>
          <w:tcPr>
            <w:tcW w:w="96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other comprehensive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other comprehensive income</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41"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041"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connection with the adoption of ASU 2018-02 in 2019, the Company elected to reclassify to Retained earnings $6.6 million of tax effects stranded in Accumulated other comprehensive loss as a result of the enactment of the Tax Cuts and Jobs Act on December 22, 2017.</w:t>
      </w:r>
    </w:p>
    <w:p>
      <w:pPr>
        <w:spacing w:after="0" w:line="22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quarterly results of operations of the Company for the years ended December 31, 2018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2"/>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3"/>
                <w:szCs w:val="13"/>
                <w:color w:val="auto"/>
              </w:rPr>
            </w:pPr>
          </w:p>
        </w:tc>
        <w:tc>
          <w:tcPr>
            <w:tcW w:w="8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7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(1)</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income (loss) (controlling interest)</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399"/>
        </w:trPr>
        <w:tc>
          <w:tcPr>
            <w:tcW w:w="7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2019</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2"/>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3"/>
                <w:szCs w:val="13"/>
                <w:color w:val="auto"/>
              </w:rPr>
            </w:pPr>
          </w:p>
        </w:tc>
        <w:tc>
          <w:tcPr>
            <w:tcW w:w="8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7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(2)</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94.3</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income (loss) (controlling interest)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22.5</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0.46</w:t>
            </w:r>
          </w:p>
        </w:tc>
      </w:tr>
      <w:tr>
        <w:trPr>
          <w:trHeight w:val="191"/>
        </w:trPr>
        <w:tc>
          <w:tcPr>
            <w:tcW w:w="700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46" w:lineRule="exact"/>
        <w:rPr>
          <w:sz w:val="20"/>
          <w:szCs w:val="20"/>
          <w:color w:val="auto"/>
        </w:rPr>
      </w:pPr>
    </w:p>
    <w:p>
      <w:pPr>
        <w:ind w:left="340" w:right="100" w:hanging="332"/>
        <w:spacing w:after="0" w:line="27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8"/>
          <w:szCs w:val="18"/>
          <w:color w:val="auto"/>
        </w:rPr>
        <w:t>In the second and fourth quarter of 2018, the Company recorded $33.3 million and $240.0 million of expenses, respectively, to reduce the carrying value to fair value of certain of its Affiliates.</w:t>
      </w:r>
    </w:p>
    <w:p>
      <w:pPr>
        <w:spacing w:after="0" w:line="170" w:lineRule="exact"/>
        <w:rPr>
          <w:rFonts w:ascii="Arial" w:cs="Arial" w:eastAsia="Arial" w:hAnsi="Arial"/>
          <w:sz w:val="18"/>
          <w:szCs w:val="18"/>
          <w:color w:val="auto"/>
          <w:vertAlign w:val="superscript"/>
        </w:rPr>
      </w:pPr>
    </w:p>
    <w:p>
      <w:pPr>
        <w:ind w:left="340" w:right="80" w:hanging="332"/>
        <w:spacing w:after="0" w:line="302" w:lineRule="auto"/>
        <w:tabs>
          <w:tab w:leader="none" w:pos="340" w:val="left"/>
        </w:tabs>
        <w:numPr>
          <w:ilvl w:val="0"/>
          <w:numId w:val="48"/>
        </w:numPr>
        <w:rPr>
          <w:rFonts w:ascii="Arial" w:cs="Arial" w:eastAsia="Arial" w:hAnsi="Arial"/>
          <w:sz w:val="16"/>
          <w:szCs w:val="16"/>
          <w:color w:val="auto"/>
          <w:vertAlign w:val="superscript"/>
        </w:rPr>
      </w:pPr>
      <w:r>
        <w:rPr>
          <w:rFonts w:ascii="Arial" w:cs="Arial" w:eastAsia="Arial" w:hAnsi="Arial"/>
          <w:sz w:val="16"/>
          <w:szCs w:val="16"/>
          <w:color w:val="auto"/>
        </w:rPr>
        <w:t>In the first, third and fourth quarters of 2019, the Company recorded $415.0 million, $10.0 million and $60.0 million of expenses, respectively, to reduce the carrying value to fair value of certain of its Affiliates. In the fourth quarter of 2019, the Company recorded $35.0 million of expenses to reduce the carrying value to fair value of certain of its indefinite-lived acquired client relationships and a $16.1 million expense to reduce the carrying value to zero of certain indefinite-lived acquired client relationships due to the closure of certain retail investment products on our U.S. retail distribution platform.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Geographic Information</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Consolidated revenue and Fixed assets (net) of the Company by geographic location. This information is primarily based on the location of the headquarters of the Affiliate.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4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1,571.4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1,611.7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2,305.0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73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6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75.6</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14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On February 18, 2020, the Company announced the completion of its investment in Comvest Partners (“Comvest”), a leading middle-market private equity and credit investment firm. The Company will account for its investment in Comvest under the equity method of accounting. The financial results of this investment will be included in the Company’s Consolidated Financial Statements one quarter in arrears.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Charged to Costs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and Expenses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Ending December 31,</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32"/>
        </w:trPr>
        <w:tc>
          <w:tcPr>
            <w:tcW w:w="4700" w:type="dxa"/>
            <w:vAlign w:val="bottom"/>
          </w:tcPr>
          <w:p>
            <w:pPr>
              <w:ind w:left="40"/>
              <w:spacing w:after="0"/>
              <w:rPr>
                <w:sz w:val="20"/>
                <w:szCs w:val="20"/>
                <w:color w:val="auto"/>
              </w:rPr>
            </w:pPr>
            <w:r>
              <w:rPr>
                <w:rFonts w:ascii="Arial" w:cs="Arial" w:eastAsia="Arial" w:hAnsi="Arial"/>
                <w:sz w:val="18"/>
                <w:szCs w:val="18"/>
                <w:color w:val="auto"/>
              </w:rPr>
              <w:t>Other Allowances</w:t>
            </w:r>
            <w:r>
              <w:rPr>
                <w:rFonts w:ascii="Arial" w:cs="Arial" w:eastAsia="Arial" w:hAnsi="Arial"/>
                <w:sz w:val="18"/>
                <w:szCs w:val="18"/>
                <w:color w:val="auto"/>
                <w:vertAlign w:val="superscript"/>
              </w:rPr>
              <w:t>(1)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470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40" w:right="420" w:hanging="332"/>
        <w:spacing w:after="0" w:line="342" w:lineRule="auto"/>
        <w:tabs>
          <w:tab w:leader="none" w:pos="340" w:val="left"/>
        </w:tabs>
        <w:numPr>
          <w:ilvl w:val="0"/>
          <w:numId w:val="49"/>
        </w:numPr>
        <w:rPr>
          <w:rFonts w:ascii="Arial" w:cs="Arial" w:eastAsia="Arial" w:hAnsi="Arial"/>
          <w:sz w:val="16"/>
          <w:szCs w:val="16"/>
          <w:color w:val="auto"/>
          <w:vertAlign w:val="superscript"/>
        </w:rPr>
      </w:pPr>
      <w:r>
        <w:rPr>
          <w:rFonts w:ascii="Arial" w:cs="Arial" w:eastAsia="Arial" w:hAnsi="Arial"/>
          <w:sz w:val="16"/>
          <w:szCs w:val="16"/>
          <w:color w:val="auto"/>
        </w:rPr>
        <w:t>Other allowances represented reserves on notes received in connection with transfers of our interests in certain Affiliates, as well as other receivable amounts, which we considered uncollectible. Deductions represented the reversal of such reserves upon collection of the amounts due.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As required by Rule 13a-15 of the Securities and Exchange Act of 1934, as amended (the “Exchange Act”), as of December 31, 2019,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as of the end of the period covered by this report, that our disclosure controls and procedures are effective to ensure that</w:t>
      </w:r>
    </w:p>
    <w:p>
      <w:pPr>
        <w:spacing w:after="0" w:line="2" w:lineRule="exact"/>
        <w:rPr>
          <w:sz w:val="20"/>
          <w:szCs w:val="20"/>
          <w:color w:val="auto"/>
        </w:rPr>
      </w:pPr>
    </w:p>
    <w:p>
      <w:pPr>
        <w:ind w:firstLine="8"/>
        <w:spacing w:after="0" w:line="268" w:lineRule="auto"/>
        <w:tabs>
          <w:tab w:leader="none" w:pos="2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are designed to provide reasonable assurance of achieving their stated objectives and our principal executive officer and principal financial officers concluded that our disclosure controls and procedures are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“Management’s Report on Internal Control over Financial Reporting” in Item 8.</w:t>
      </w:r>
    </w:p>
    <w:p>
      <w:pPr>
        <w:spacing w:after="0" w:line="23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independent registered public accounting firm, PricewaterhouseCoopers LLP, has issued an audit report on our internal control over financial reporting, which is included in Item 8.</w:t>
      </w:r>
    </w:p>
    <w:p>
      <w:pPr>
        <w:spacing w:after="0" w:line="22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2019 that has materially affected, or is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required by this Item will be set forth in our proxy statement for our 2020 Annual Meeting of Stockholders (to be filed within 120 days after December 31, 2019) (the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125"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w w:val="96"/>
              </w:rPr>
              <w:t>(a)  (1)</w:t>
            </w:r>
          </w:p>
        </w:tc>
        <w:tc>
          <w:tcPr>
            <w:tcW w:w="9460" w:type="dxa"/>
            <w:vAlign w:val="bottom"/>
          </w:tcPr>
          <w:p>
            <w:pPr>
              <w:ind w:left="20"/>
              <w:spacing w:after="0"/>
              <w:rPr>
                <w:sz w:val="20"/>
                <w:szCs w:val="20"/>
                <w:color w:val="auto"/>
              </w:rPr>
            </w:pPr>
            <w:r>
              <w:rPr>
                <w:rFonts w:ascii="Arial" w:cs="Arial" w:eastAsia="Arial" w:hAnsi="Arial"/>
                <w:sz w:val="18"/>
                <w:szCs w:val="18"/>
                <w:color w:val="auto"/>
              </w:rPr>
              <w:t>Financial Statements: See Item 8 of this Annual Report on Form 10-K.</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9460" w:type="dxa"/>
            <w:vAlign w:val="bottom"/>
          </w:tcPr>
          <w:p>
            <w:pPr>
              <w:ind w:left="20"/>
              <w:spacing w:after="0"/>
              <w:rPr>
                <w:sz w:val="20"/>
                <w:szCs w:val="20"/>
                <w:color w:val="auto"/>
              </w:rPr>
            </w:pPr>
            <w:r>
              <w:rPr>
                <w:rFonts w:ascii="Arial" w:cs="Arial" w:eastAsia="Arial" w:hAnsi="Arial"/>
                <w:sz w:val="18"/>
                <w:szCs w:val="18"/>
                <w:color w:val="auto"/>
              </w:rPr>
              <w:t>Financial Statement Schedule required by Part II, Item 8 is included in Item 8:</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8"/>
                <w:szCs w:val="18"/>
                <w:color w:val="auto"/>
              </w:rPr>
              <w:t>Page No.</w:t>
            </w:r>
          </w:p>
        </w:tc>
      </w:tr>
      <w:tr>
        <w:trPr>
          <w:trHeight w:val="27"/>
        </w:trPr>
        <w:tc>
          <w:tcPr>
            <w:tcW w:w="100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20" w:type="dxa"/>
            <w:vAlign w:val="bottom"/>
            <w:gridSpan w:val="2"/>
          </w:tcPr>
          <w:p>
            <w:pPr>
              <w:ind w:left="400"/>
              <w:spacing w:after="0" w:line="196" w:lineRule="exact"/>
              <w:rPr>
                <w:sz w:val="20"/>
                <w:szCs w:val="20"/>
                <w:color w:val="auto"/>
              </w:rPr>
            </w:pPr>
            <w:r>
              <w:rPr>
                <w:rFonts w:ascii="Arial" w:cs="Arial" w:eastAsia="Arial" w:hAnsi="Arial"/>
                <w:sz w:val="18"/>
                <w:szCs w:val="18"/>
                <w:color w:val="auto"/>
              </w:rPr>
              <w:t>Schedule II - Valuation and Qualifying Accounts for the years ended December 31, 2019, 2018 and 2017</w:t>
            </w:r>
          </w:p>
        </w:tc>
        <w:tc>
          <w:tcPr>
            <w:tcW w:w="94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c>
          <w:tcPr>
            <w:tcW w:w="20" w:type="dxa"/>
            <w:vAlign w:val="bottom"/>
          </w:tcPr>
          <w:p>
            <w:pPr>
              <w:spacing w:after="0"/>
              <w:rPr>
                <w:sz w:val="17"/>
                <w:szCs w:val="17"/>
                <w:color w:val="auto"/>
              </w:rPr>
            </w:pPr>
          </w:p>
        </w:tc>
      </w:tr>
      <w:tr>
        <w:trPr>
          <w:trHeight w:val="480"/>
        </w:trPr>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9460" w:type="dxa"/>
            <w:vAlign w:val="bottom"/>
          </w:tcPr>
          <w:p>
            <w:pPr>
              <w:ind w:left="20"/>
              <w:spacing w:after="0"/>
              <w:rPr>
                <w:sz w:val="20"/>
                <w:szCs w:val="20"/>
                <w:color w:val="auto"/>
              </w:rPr>
            </w:pPr>
            <w:r>
              <w:rPr>
                <w:rFonts w:ascii="Arial" w:cs="Arial" w:eastAsia="Arial" w:hAnsi="Arial"/>
                <w:sz w:val="18"/>
                <w:szCs w:val="18"/>
                <w:color w:val="auto"/>
              </w:rPr>
              <w:t>Exhibits: See the Exhibit Index below and incorporated by reference herein.</w:t>
            </w:r>
          </w:p>
        </w:tc>
        <w:tc>
          <w:tcPr>
            <w:tcW w:w="7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125" w:right="4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310"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23">
        <w:r>
          <w:rPr>
            <w:rFonts w:ascii="Arial" w:cs="Arial" w:eastAsia="Arial" w:hAnsi="Arial"/>
            <w:sz w:val="16"/>
            <w:szCs w:val="16"/>
            <w:u w:val="single" w:color="auto"/>
            <w:color w:val="0000FF"/>
          </w:rPr>
          <w:t>Amended and Restated Certificate of Incorporation (incorporated by reference to the Company’s Registration Statement on Form S-1/A (No.</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333-34679), filed October 29, 1997)</w:t>
        </w:r>
      </w:hyperlink>
    </w:p>
    <w:p>
      <w:pPr>
        <w:spacing w:after="0" w:line="49" w:lineRule="exact"/>
        <w:rPr>
          <w:sz w:val="20"/>
          <w:szCs w:val="20"/>
          <w:color w:val="auto"/>
        </w:rPr>
      </w:pPr>
    </w:p>
    <w:p>
      <w:pPr>
        <w:ind w:left="980" w:right="40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24">
        <w:r>
          <w:rPr>
            <w:rFonts w:ascii="Arial" w:cs="Arial" w:eastAsia="Arial" w:hAnsi="Arial"/>
            <w:sz w:val="18"/>
            <w:szCs w:val="18"/>
            <w:u w:val="single" w:color="auto"/>
            <w:color w:val="0000FF"/>
          </w:rPr>
          <w:t>Amendment to Amended and Restated Certificate of Incorporation (incorporated by reference to the Company’s Registration Statement on</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FF"/>
          </w:rPr>
          <w:t>Form S-8 (No. 333-129748), filed November 16, 2005)</w:t>
        </w:r>
      </w:hyperlink>
    </w:p>
    <w:p>
      <w:pPr>
        <w:spacing w:after="0" w:line="8"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25">
        <w:r>
          <w:rPr>
            <w:rFonts w:ascii="Arial" w:cs="Arial" w:eastAsia="Arial" w:hAnsi="Arial"/>
            <w:sz w:val="16"/>
            <w:szCs w:val="16"/>
            <w:u w:val="single" w:color="auto"/>
            <w:color w:val="0000FF"/>
          </w:rPr>
          <w:t>Amendment to Amended and Restated Certificate of Incorporation (incorporated by reference to the Company’s Proxy Statement on Schedule</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14A (No. 001-13459), filed April 28, 2006)</w:t>
        </w:r>
      </w:hyperlink>
    </w:p>
    <w:p>
      <w:pPr>
        <w:spacing w:after="0" w:line="49" w:lineRule="exact"/>
        <w:rPr>
          <w:sz w:val="20"/>
          <w:szCs w:val="20"/>
          <w:color w:val="auto"/>
        </w:rPr>
      </w:pPr>
    </w:p>
    <w:p>
      <w:pPr>
        <w:ind w:left="980" w:right="10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w:t>
      </w:r>
      <w:hyperlink r:id="rId26">
        <w:r>
          <w:rPr>
            <w:rFonts w:ascii="Arial" w:cs="Arial" w:eastAsia="Arial" w:hAnsi="Arial"/>
            <w:sz w:val="18"/>
            <w:szCs w:val="18"/>
            <w:u w:val="single" w:color="auto"/>
            <w:color w:val="0000FF"/>
          </w:rPr>
          <w:t>Amendment to Amended and Restated Certificate of Incorporation (incorporated by reference to the Company’s Quarterly Report on Form 10-</w:t>
        </w:r>
      </w:hyperlink>
      <w:hyperlink r:id="rId26">
        <w:r>
          <w:rPr>
            <w:rFonts w:ascii="Arial" w:cs="Arial" w:eastAsia="Arial" w:hAnsi="Arial"/>
            <w:sz w:val="18"/>
            <w:szCs w:val="18"/>
            <w:u w:val="single" w:color="auto"/>
            <w:color w:val="0000FF"/>
          </w:rPr>
          <w:t>Q (No. 001-13459), filed August 3, 2017)</w:t>
        </w:r>
      </w:hyperlink>
    </w:p>
    <w:p>
      <w:pPr>
        <w:spacing w:after="0" w:line="8"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3.5  </w:t>
      </w:r>
      <w:hyperlink r:id="rId27">
        <w:r>
          <w:rPr>
            <w:rFonts w:ascii="Arial" w:cs="Arial" w:eastAsia="Arial" w:hAnsi="Arial"/>
            <w:sz w:val="16"/>
            <w:szCs w:val="16"/>
            <w:u w:val="single" w:color="auto"/>
            <w:color w:val="0000FF"/>
          </w:rPr>
          <w:t>Amended and Restated By-laws (incorporated by reference to the Company’s Quarterly Report on Form 10-Q (No. 001-13459), filed November</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7, 2016)</w:t>
        </w:r>
      </w:hyperlink>
    </w:p>
    <w:p>
      <w:pPr>
        <w:spacing w:after="0" w:line="49" w:lineRule="exact"/>
        <w:rPr>
          <w:sz w:val="20"/>
          <w:szCs w:val="20"/>
          <w:color w:val="auto"/>
        </w:rPr>
      </w:pPr>
    </w:p>
    <w:p>
      <w:pPr>
        <w:ind w:left="980" w:right="18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28">
        <w:r>
          <w:rPr>
            <w:rFonts w:ascii="Arial" w:cs="Arial" w:eastAsia="Arial" w:hAnsi="Arial"/>
            <w:sz w:val="18"/>
            <w:szCs w:val="18"/>
            <w:u w:val="single" w:color="auto"/>
            <w:color w:val="0000FF"/>
          </w:rPr>
          <w:t>Specimen certificate for shares of common stock of the Registrant (incorporated by reference to the Company’s Annual Report on Form 10-K</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(No. 001-13459), filed February 23, 2018)</w:t>
        </w:r>
      </w:hyperlink>
    </w:p>
    <w:p>
      <w:pPr>
        <w:spacing w:after="0" w:line="8"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4.2  </w:t>
      </w:r>
      <w:hyperlink r:id="rId29">
        <w:r>
          <w:rPr>
            <w:rFonts w:ascii="Arial" w:cs="Arial" w:eastAsia="Arial" w:hAnsi="Arial"/>
            <w:sz w:val="17"/>
            <w:szCs w:val="17"/>
            <w:u w:val="single" w:color="auto"/>
            <w:color w:val="0000FF"/>
          </w:rPr>
          <w:t>Amended and Restated Declaration of Trust of AMG Capital Trust II, dated as of October 17, 2007, by and among Affiliated Managers</w:t>
        </w:r>
      </w:hyperlink>
    </w:p>
    <w:p>
      <w:pPr>
        <w:spacing w:after="0" w:line="35" w:lineRule="exact"/>
        <w:rPr>
          <w:sz w:val="20"/>
          <w:szCs w:val="20"/>
          <w:color w:val="auto"/>
        </w:rPr>
      </w:pPr>
    </w:p>
    <w:p>
      <w:pPr>
        <w:ind w:left="980"/>
        <w:spacing w:after="0"/>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Group, Inc., U.S. Bank National Association, successor in interest to Bank of America National Trust Delaware, successor by merger to LaSalle</w:t>
        </w:r>
      </w:hyperlink>
    </w:p>
    <w:p>
      <w:pPr>
        <w:spacing w:after="0" w:line="32" w:lineRule="exact"/>
        <w:rPr>
          <w:sz w:val="20"/>
          <w:szCs w:val="20"/>
          <w:color w:val="auto"/>
        </w:rPr>
      </w:pPr>
    </w:p>
    <w:p>
      <w:pPr>
        <w:ind w:left="980"/>
        <w:spacing w:after="0"/>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National Trust Delaware, as Delaware Trustee, U.S. Bank National Association, successor in interest to Bank of America, N.A., successor by</w:t>
        </w:r>
      </w:hyperlink>
    </w:p>
    <w:p>
      <w:pPr>
        <w:spacing w:after="0" w:line="32" w:lineRule="exact"/>
        <w:rPr>
          <w:sz w:val="20"/>
          <w:szCs w:val="20"/>
          <w:color w:val="auto"/>
        </w:rPr>
      </w:pPr>
    </w:p>
    <w:p>
      <w:pPr>
        <w:ind w:left="980"/>
        <w:spacing w:after="0"/>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merger to LaSalle Bank National Association, as Property Trustee and Institutional Administrator, and the holders from time to time of</w:t>
        </w:r>
      </w:hyperlink>
    </w:p>
    <w:p>
      <w:pPr>
        <w:spacing w:after="0" w:line="21" w:lineRule="exact"/>
        <w:rPr>
          <w:sz w:val="20"/>
          <w:szCs w:val="20"/>
          <w:color w:val="auto"/>
        </w:rPr>
      </w:pPr>
    </w:p>
    <w:p>
      <w:pPr>
        <w:ind w:left="980"/>
        <w:spacing w:after="0"/>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undivided beneficial interests in the assets of AMG Capital Trust II (incorporated by reference to the Company’s Current Report on Form 8-K</w:t>
        </w:r>
      </w:hyperlink>
    </w:p>
    <w:p>
      <w:pPr>
        <w:spacing w:after="0" w:line="32" w:lineRule="exact"/>
        <w:rPr>
          <w:sz w:val="20"/>
          <w:szCs w:val="20"/>
          <w:color w:val="auto"/>
        </w:rPr>
      </w:pPr>
    </w:p>
    <w:p>
      <w:pPr>
        <w:ind w:left="98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(No. 001-13459), filed October 18, 2007)</w:t>
        </w:r>
      </w:hyperlink>
    </w:p>
    <w:p>
      <w:pPr>
        <w:spacing w:after="0" w:line="49" w:lineRule="exact"/>
        <w:rPr>
          <w:sz w:val="20"/>
          <w:szCs w:val="20"/>
          <w:color w:val="auto"/>
        </w:rPr>
      </w:pPr>
    </w:p>
    <w:p>
      <w:pPr>
        <w:ind w:left="980" w:right="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30">
        <w:r>
          <w:rPr>
            <w:rFonts w:ascii="Arial" w:cs="Arial" w:eastAsia="Arial" w:hAnsi="Arial"/>
            <w:sz w:val="18"/>
            <w:szCs w:val="18"/>
            <w:u w:val="single" w:color="auto"/>
            <w:color w:val="0000FF"/>
          </w:rPr>
          <w:t>Indenture, dated as of October 17, 2007, by and between Affiliated Managers Group, Inc. and U.S. Bank National Association, successor in</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interest to Bank of America, N.A., successor by merger to LaSalle Bank National Association, as Debenture Trustee (incorporated by reference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to the Company’s Current Report on Form 8-K (No. 001-13459), filed October 18, 2007)</w:t>
        </w:r>
      </w:hyperlink>
    </w:p>
    <w:p>
      <w:pPr>
        <w:spacing w:after="0" w:line="19" w:lineRule="exact"/>
        <w:rPr>
          <w:rFonts w:ascii="Arial" w:cs="Arial" w:eastAsia="Arial" w:hAnsi="Arial"/>
          <w:sz w:val="18"/>
          <w:szCs w:val="18"/>
          <w:color w:val="auto"/>
        </w:rPr>
      </w:pPr>
    </w:p>
    <w:p>
      <w:pPr>
        <w:ind w:left="980" w:right="80" w:hanging="35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31">
        <w:r>
          <w:rPr>
            <w:rFonts w:ascii="Arial" w:cs="Arial" w:eastAsia="Arial" w:hAnsi="Arial"/>
            <w:sz w:val="18"/>
            <w:szCs w:val="18"/>
            <w:u w:val="single" w:color="auto"/>
            <w:color w:val="0000FF"/>
          </w:rPr>
          <w:t>First Supplemental Indenture, dated as of January 10, 2014, by and between Affiliated Managers Group, Inc. and U.S. Bank National</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Association, successor in interest to Bank of America, N.A., successor by merger to LaSalle Bank National Association, as Debenture Trustee</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(incorporated by reference to the Company’s Annual Report on Form 10-K for the fiscal year ended December 31, 2013 (No. 001-13459), filed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February 27, 2014)</w:t>
        </w:r>
      </w:hyperlink>
    </w:p>
    <w:p>
      <w:pPr>
        <w:spacing w:after="0" w:line="25" w:lineRule="exact"/>
        <w:rPr>
          <w:rFonts w:ascii="Arial" w:cs="Arial" w:eastAsia="Arial" w:hAnsi="Arial"/>
          <w:sz w:val="18"/>
          <w:szCs w:val="18"/>
          <w:u w:val="single" w:color="auto"/>
          <w:color w:val="0000FF"/>
        </w:rPr>
      </w:pPr>
    </w:p>
    <w:p>
      <w:pPr>
        <w:ind w:left="980" w:right="100" w:hanging="359"/>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4.5 </w:t>
      </w:r>
      <w:hyperlink r:id="rId32">
        <w:r>
          <w:rPr>
            <w:rFonts w:ascii="Arial" w:cs="Arial" w:eastAsia="Arial" w:hAnsi="Arial"/>
            <w:sz w:val="17"/>
            <w:szCs w:val="17"/>
            <w:u w:val="single" w:color="auto"/>
            <w:color w:val="0000FF"/>
          </w:rPr>
          <w:t>Guarantee Agreement, dated as of October 17, 2007, by and between Affiliated Managers Group, Inc. and U.S. Bank National Association,</w:t>
        </w:r>
      </w:hyperlink>
      <w:r>
        <w:rPr>
          <w:rFonts w:ascii="Arial" w:cs="Arial" w:eastAsia="Arial" w:hAnsi="Arial"/>
          <w:sz w:val="17"/>
          <w:szCs w:val="17"/>
          <w:color w:val="auto"/>
        </w:rPr>
        <w:t xml:space="preserve"> </w:t>
      </w:r>
      <w:hyperlink r:id="rId32">
        <w:r>
          <w:rPr>
            <w:rFonts w:ascii="Arial" w:cs="Arial" w:eastAsia="Arial" w:hAnsi="Arial"/>
            <w:sz w:val="17"/>
            <w:szCs w:val="17"/>
            <w:u w:val="single" w:color="auto"/>
            <w:color w:val="0000FF"/>
          </w:rPr>
          <w:t>successor in interest to Bank of America, N.A., successor by merger to LaSalle Bank National Association, as Guarantee Trustee (incorporated</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by reference to the Company’s Current Report on Form 8-K (No. 001-13459), filed October 18, 2007)</w:t>
        </w:r>
      </w:hyperlink>
    </w:p>
    <w:p>
      <w:pPr>
        <w:spacing w:after="0" w:line="3" w:lineRule="exact"/>
        <w:rPr>
          <w:rFonts w:ascii="Arial" w:cs="Arial" w:eastAsia="Arial" w:hAnsi="Arial"/>
          <w:sz w:val="17"/>
          <w:szCs w:val="17"/>
          <w:color w:val="auto"/>
        </w:rPr>
      </w:pPr>
    </w:p>
    <w:p>
      <w:pPr>
        <w:ind w:left="980" w:right="420" w:hanging="35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33">
        <w:r>
          <w:rPr>
            <w:rFonts w:ascii="Arial" w:cs="Arial" w:eastAsia="Arial" w:hAnsi="Arial"/>
            <w:sz w:val="17"/>
            <w:szCs w:val="17"/>
            <w:u w:val="single" w:color="auto"/>
            <w:color w:val="0000FF"/>
          </w:rPr>
          <w:t>Indenture, dated as of February 11, 2014, by and between Affiliated Managers Group, Inc. and U.S. Bank National Association, as Trustee</w:t>
        </w:r>
      </w:hyperlink>
      <w:r>
        <w:rPr>
          <w:rFonts w:ascii="Arial" w:cs="Arial" w:eastAsia="Arial" w:hAnsi="Arial"/>
          <w:sz w:val="17"/>
          <w:szCs w:val="17"/>
          <w:color w:val="auto"/>
        </w:rPr>
        <w:t xml:space="preserve"> </w:t>
      </w:r>
      <w:hyperlink r:id="rId33">
        <w:r>
          <w:rPr>
            <w:rFonts w:ascii="Arial" w:cs="Arial" w:eastAsia="Arial" w:hAnsi="Arial"/>
            <w:sz w:val="17"/>
            <w:szCs w:val="17"/>
            <w:u w:val="single" w:color="auto"/>
            <w:color w:val="0000FF"/>
          </w:rPr>
          <w:t>(incorporated by reference to the Company’s Current Report on Form 8-K (No. 001-13459), filed February 11, 2014)</w:t>
        </w:r>
      </w:hyperlink>
    </w:p>
    <w:p>
      <w:pPr>
        <w:spacing w:after="0" w:line="1" w:lineRule="exact"/>
        <w:rPr>
          <w:sz w:val="20"/>
          <w:szCs w:val="20"/>
          <w:color w:val="auto"/>
        </w:rPr>
      </w:pPr>
    </w:p>
    <w:p>
      <w:pPr>
        <w:ind w:left="980" w:right="22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34">
        <w:r>
          <w:rPr>
            <w:rFonts w:ascii="Arial" w:cs="Arial" w:eastAsia="Arial" w:hAnsi="Arial"/>
            <w:sz w:val="18"/>
            <w:szCs w:val="18"/>
            <w:u w:val="single" w:color="auto"/>
            <w:color w:val="0000FF"/>
          </w:rPr>
          <w:t>Supplemental Indenture related to the 4.250% Senior Notes due 2024, dated as of February 11, 2014, by and between Affiliated Managers</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FF"/>
          </w:rPr>
          <w:t>Group, Inc. and U.S. Bank National Association, as Trustee, including the form of Global Note attached as Annex A thereto (incorporated by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reference to the Company’s Current Report on Form 8-K (No. 001-13459), filed February 11, 2014)</w:t>
        </w:r>
      </w:hyperlink>
    </w:p>
    <w:p>
      <w:pPr>
        <w:spacing w:after="0" w:line="19" w:lineRule="exact"/>
        <w:rPr>
          <w:rFonts w:ascii="Arial" w:cs="Arial" w:eastAsia="Arial" w:hAnsi="Arial"/>
          <w:sz w:val="18"/>
          <w:szCs w:val="18"/>
          <w:color w:val="auto"/>
        </w:rPr>
      </w:pPr>
    </w:p>
    <w:p>
      <w:pPr>
        <w:jc w:val="both"/>
        <w:ind w:left="980" w:right="620" w:hanging="359"/>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35">
        <w:r>
          <w:rPr>
            <w:rFonts w:ascii="Arial" w:cs="Arial" w:eastAsia="Arial" w:hAnsi="Arial"/>
            <w:sz w:val="16"/>
            <w:szCs w:val="16"/>
            <w:u w:val="single" w:color="auto"/>
            <w:color w:val="0000FF"/>
          </w:rPr>
          <w:t>Second Supplemental Indenture related to the 3.500% Senior Notes due 2025, dated as of February 13, 2015, by and between Affiliated</w:t>
        </w:r>
      </w:hyperlink>
      <w:r>
        <w:rPr>
          <w:rFonts w:ascii="Arial" w:cs="Arial" w:eastAsia="Arial" w:hAnsi="Arial"/>
          <w:sz w:val="16"/>
          <w:szCs w:val="16"/>
          <w:color w:val="auto"/>
        </w:rPr>
        <w:t xml:space="preserve"> </w:t>
      </w:r>
      <w:hyperlink r:id="rId35">
        <w:r>
          <w:rPr>
            <w:rFonts w:ascii="Arial" w:cs="Arial" w:eastAsia="Arial" w:hAnsi="Arial"/>
            <w:sz w:val="16"/>
            <w:szCs w:val="16"/>
            <w:u w:val="single" w:color="auto"/>
            <w:color w:val="0000FF"/>
          </w:rPr>
          <w:t>Managers Group, Inc. and U.S. Bank National Association, as Trustee, including the form of Global Note attached as Annex A thereto</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(incorporated by reference to the Company’s Current Report on Form 8-K (No. 001-13459), filed February 13, 2015)</w:t>
        </w:r>
      </w:hyperlink>
    </w:p>
    <w:p>
      <w:pPr>
        <w:spacing w:after="0" w:line="1" w:lineRule="exact"/>
        <w:rPr>
          <w:rFonts w:ascii="Arial" w:cs="Arial" w:eastAsia="Arial" w:hAnsi="Arial"/>
          <w:sz w:val="16"/>
          <w:szCs w:val="16"/>
          <w:color w:val="auto"/>
        </w:rPr>
      </w:pPr>
    </w:p>
    <w:p>
      <w:pPr>
        <w:ind w:left="980" w:right="420" w:hanging="359"/>
        <w:spacing w:after="0" w:line="317" w:lineRule="auto"/>
        <w:rPr>
          <w:rFonts w:ascii="Arial" w:cs="Arial" w:eastAsia="Arial" w:hAnsi="Arial"/>
          <w:sz w:val="16"/>
          <w:szCs w:val="16"/>
          <w:color w:val="0000FF"/>
        </w:rPr>
      </w:pPr>
      <w:r>
        <w:rPr>
          <w:rFonts w:ascii="Arial" w:cs="Arial" w:eastAsia="Arial" w:hAnsi="Arial"/>
          <w:sz w:val="16"/>
          <w:szCs w:val="16"/>
          <w:color w:val="auto"/>
        </w:rPr>
        <w:t xml:space="preserve">4.9 </w:t>
      </w:r>
      <w:hyperlink r:id="rId36">
        <w:r>
          <w:rPr>
            <w:rFonts w:ascii="Arial" w:cs="Arial" w:eastAsia="Arial" w:hAnsi="Arial"/>
            <w:sz w:val="16"/>
            <w:szCs w:val="16"/>
            <w:u w:val="single" w:color="auto"/>
            <w:color w:val="0000FF"/>
          </w:rPr>
          <w:t>Indenture, dated as of March 27, 2019, by and between Affiliated Managers Group, Inc., as issuer, and U.S. Bank National Association, as</w:t>
        </w:r>
      </w:hyperlink>
      <w:r>
        <w:rPr>
          <w:rFonts w:ascii="Arial" w:cs="Arial" w:eastAsia="Arial" w:hAnsi="Arial"/>
          <w:sz w:val="16"/>
          <w:szCs w:val="16"/>
          <w:color w:val="auto"/>
        </w:rPr>
        <w:t xml:space="preserve"> </w:t>
      </w:r>
      <w:hyperlink r:id="rId36">
        <w:r>
          <w:rPr>
            <w:rFonts w:ascii="Arial" w:cs="Arial" w:eastAsia="Arial" w:hAnsi="Arial"/>
            <w:sz w:val="16"/>
            <w:szCs w:val="16"/>
            <w:u w:val="single" w:color="auto"/>
            <w:color w:val="0000FF"/>
          </w:rPr>
          <w:t>trustee (incorporated by reference to the Company’s Current Report on Form 8-K (No. 001-13459), filed March 27, 2019</w:t>
        </w:r>
        <w:r>
          <w:rPr>
            <w:rFonts w:ascii="Arial" w:cs="Arial" w:eastAsia="Arial" w:hAnsi="Arial"/>
            <w:sz w:val="16"/>
            <w:szCs w:val="16"/>
            <w:color w:val="000000"/>
          </w:rPr>
          <w:t>)</w:t>
        </w:r>
      </w:hyperlink>
    </w:p>
    <w:p>
      <w:pPr>
        <w:ind w:left="980" w:right="20" w:hanging="449"/>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4.10 </w:t>
      </w:r>
      <w:hyperlink r:id="rId37">
        <w:r>
          <w:rPr>
            <w:rFonts w:ascii="Arial" w:cs="Arial" w:eastAsia="Arial" w:hAnsi="Arial"/>
            <w:sz w:val="17"/>
            <w:szCs w:val="17"/>
            <w:u w:val="single" w:color="auto"/>
            <w:color w:val="0000FF"/>
          </w:rPr>
          <w:t>First Supplemental Indenture related to the 5.875% Junior Subordinated Notes due 2059, dated as of March 27, 2019, between Affiliated</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FF"/>
          </w:rPr>
          <w:t>Managers Group, Inc., as issuer, and U.S. Bank National Association, as trustee, including the form of Global Note attached as Annex A thereto</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(incorporated by reference to the Company’s Current Report on Form 8-K (No. 001-13459), filed March 27, 2019)</w:t>
        </w:r>
      </w:hyperlink>
    </w:p>
    <w:p>
      <w:pPr>
        <w:spacing w:after="0" w:line="3" w:lineRule="exact"/>
        <w:rPr>
          <w:rFonts w:ascii="Arial" w:cs="Arial" w:eastAsia="Arial" w:hAnsi="Arial"/>
          <w:sz w:val="17"/>
          <w:szCs w:val="17"/>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4.11  </w:t>
      </w:r>
      <w:hyperlink w:anchor="page87">
        <w:r>
          <w:rPr>
            <w:rFonts w:ascii="Arial" w:cs="Arial" w:eastAsia="Arial" w:hAnsi="Arial"/>
            <w:sz w:val="18"/>
            <w:szCs w:val="18"/>
            <w:u w:val="single" w:color="auto"/>
            <w:color w:val="0000FF"/>
          </w:rPr>
          <w:t>Description of Registrant’s Securities*</w:t>
        </w:r>
      </w:hyperlink>
    </w:p>
    <w:p>
      <w:pPr>
        <w:spacing w:after="0" w:line="63" w:lineRule="exact"/>
        <w:rPr>
          <w:rFonts w:ascii="Arial" w:cs="Arial" w:eastAsia="Arial" w:hAnsi="Arial"/>
          <w:sz w:val="17"/>
          <w:szCs w:val="17"/>
          <w:color w:val="auto"/>
        </w:rPr>
      </w:pPr>
    </w:p>
    <w:p>
      <w:pPr>
        <w:ind w:left="980" w:right="1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38">
        <w:r>
          <w:rPr>
            <w:rFonts w:ascii="Arial" w:cs="Arial" w:eastAsia="Arial" w:hAnsi="Arial"/>
            <w:sz w:val="18"/>
            <w:szCs w:val="18"/>
            <w:u w:val="single" w:color="auto"/>
            <w:color w:val="0000FF"/>
          </w:rPr>
          <w:t>Affiliated Managers Group, Inc. Defined Contribution Plan (incorporated by reference to the Company’s Annual Report on Form 10-K for the</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FF"/>
          </w:rPr>
          <w:t>fiscal year ended December 31, 1999 (No. 001-13459), filed March 30, 2000)</w:t>
        </w:r>
      </w:hyperlink>
    </w:p>
    <w:p>
      <w:pPr>
        <w:spacing w:after="0" w:line="8" w:lineRule="exact"/>
        <w:rPr>
          <w:sz w:val="20"/>
          <w:szCs w:val="20"/>
          <w:color w:val="auto"/>
        </w:rPr>
      </w:pPr>
    </w:p>
    <w:p>
      <w:pPr>
        <w:ind w:left="980" w:right="44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39">
        <w:r>
          <w:rPr>
            <w:rFonts w:ascii="Arial" w:cs="Arial" w:eastAsia="Arial" w:hAnsi="Arial"/>
            <w:sz w:val="18"/>
            <w:szCs w:val="18"/>
            <w:u w:val="single" w:color="auto"/>
            <w:color w:val="0000FF"/>
          </w:rPr>
          <w:t>Affiliated Managers Group, Inc. Executive Incentive Plan (incorporated by reference to the Company’s Proxy Statement on Schedule 14A</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FF"/>
          </w:rPr>
          <w:t>(No. 001-13459), filed April 29, 2015)</w:t>
        </w:r>
      </w:hyperlink>
    </w:p>
    <w:p>
      <w:pPr>
        <w:spacing w:after="0" w:line="8" w:lineRule="exact"/>
        <w:rPr>
          <w:sz w:val="20"/>
          <w:szCs w:val="20"/>
          <w:color w:val="auto"/>
        </w:rPr>
      </w:pPr>
    </w:p>
    <w:p>
      <w:pPr>
        <w:ind w:left="980" w:right="3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40">
        <w:r>
          <w:rPr>
            <w:rFonts w:ascii="Arial" w:cs="Arial" w:eastAsia="Arial" w:hAnsi="Arial"/>
            <w:sz w:val="18"/>
            <w:szCs w:val="18"/>
            <w:u w:val="single" w:color="auto"/>
            <w:color w:val="0000FF"/>
          </w:rPr>
          <w:t>Affiliated Managers Group, Inc. Amended and Restated 1997 Stock Option and Incentive Plan (incorporated by reference to the Company’s</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Quarterly Report on Form 10-Q (No. 001-13459), filed May 10, 2004)</w:t>
        </w:r>
      </w:hyperlink>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2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41">
        <w:r>
          <w:rPr>
            <w:rFonts w:ascii="Arial" w:cs="Arial" w:eastAsia="Arial" w:hAnsi="Arial"/>
            <w:sz w:val="18"/>
            <w:szCs w:val="18"/>
            <w:u w:val="single" w:color="auto"/>
            <w:color w:val="0000FF"/>
          </w:rPr>
          <w:t>Affiliated Managers Group, Inc. Amended and Restated 2002 Stock Option and Incentive Plan (incorporated by reference to the Company’s</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Quarterly Report on Form 10-Q (No. 001-13459), filed May 10, 2004)</w:t>
        </w:r>
      </w:hyperlink>
    </w:p>
    <w:p>
      <w:pPr>
        <w:spacing w:after="0" w:line="8" w:lineRule="exact"/>
        <w:rPr>
          <w:sz w:val="20"/>
          <w:szCs w:val="20"/>
          <w:color w:val="auto"/>
        </w:rPr>
      </w:pPr>
    </w:p>
    <w:p>
      <w:pPr>
        <w:ind w:left="980" w:right="5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42">
        <w:r>
          <w:rPr>
            <w:rFonts w:ascii="Arial" w:cs="Arial" w:eastAsia="Arial" w:hAnsi="Arial"/>
            <w:sz w:val="18"/>
            <w:szCs w:val="18"/>
            <w:u w:val="single" w:color="auto"/>
            <w:color w:val="0000FF"/>
          </w:rPr>
          <w:t>Affiliated Managers Group, Inc. 2006 Stock Option and Incentive Plan (incorporated by reference to the Company’s Proxy Statement on</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Schedule 14A (No. 001-13459), filed April 28, 2006)</w:t>
        </w:r>
      </w:hyperlink>
    </w:p>
    <w:p>
      <w:pPr>
        <w:spacing w:after="0" w:line="8" w:lineRule="exact"/>
        <w:rPr>
          <w:sz w:val="20"/>
          <w:szCs w:val="20"/>
          <w:color w:val="auto"/>
        </w:rPr>
      </w:pPr>
    </w:p>
    <w:p>
      <w:pPr>
        <w:ind w:left="980" w:right="220" w:hanging="53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 </w:t>
      </w:r>
      <w:hyperlink r:id="rId43">
        <w:r>
          <w:rPr>
            <w:rFonts w:ascii="Arial" w:cs="Arial" w:eastAsia="Arial" w:hAnsi="Arial"/>
            <w:sz w:val="17"/>
            <w:szCs w:val="17"/>
            <w:u w:val="single" w:color="auto"/>
            <w:color w:val="0000FF"/>
          </w:rPr>
          <w:t>Affiliated Managers Group, Inc. Amended and Restated Long-Term Stock and Investment Plan (incorporated by reference to the Company’s</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FF"/>
          </w:rPr>
          <w:t>Annual Report on Form 10-K for the fiscal year ended December 31, 2013 (No. 001-13459), filed February 27, 2014)</w:t>
        </w:r>
      </w:hyperlink>
    </w:p>
    <w:p>
      <w:pPr>
        <w:spacing w:after="0" w:line="1" w:lineRule="exact"/>
        <w:rPr>
          <w:sz w:val="20"/>
          <w:szCs w:val="20"/>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 xml:space="preserve">10.7†  </w:t>
      </w:r>
      <w:hyperlink r:id="rId44">
        <w:r>
          <w:rPr>
            <w:rFonts w:ascii="Arial" w:cs="Arial" w:eastAsia="Arial" w:hAnsi="Arial"/>
            <w:sz w:val="16"/>
            <w:szCs w:val="16"/>
            <w:u w:val="single" w:color="auto"/>
            <w:color w:val="0000FF"/>
          </w:rPr>
          <w:t>Affiliated Managers Group, Inc. Executive Retention Plan (incorporated by reference to the Company’s Quarterly Report on Form 10-Q (No.</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001-13459), filed November 9, 2005)</w:t>
        </w:r>
      </w:hyperlink>
    </w:p>
    <w:p>
      <w:pPr>
        <w:spacing w:after="0" w:line="49" w:lineRule="exact"/>
        <w:rPr>
          <w:sz w:val="20"/>
          <w:szCs w:val="20"/>
          <w:color w:val="auto"/>
        </w:rPr>
      </w:pPr>
    </w:p>
    <w:p>
      <w:pPr>
        <w:ind w:left="980" w:right="200" w:hanging="539"/>
        <w:spacing w:after="0" w:line="277" w:lineRule="auto"/>
        <w:rPr>
          <w:rFonts w:ascii="Arial" w:cs="Arial" w:eastAsia="Arial" w:hAnsi="Arial"/>
          <w:sz w:val="18"/>
          <w:szCs w:val="18"/>
          <w:color w:val="0000FF"/>
        </w:rPr>
      </w:pPr>
      <w:r>
        <w:rPr>
          <w:rFonts w:ascii="Arial" w:cs="Arial" w:eastAsia="Arial" w:hAnsi="Arial"/>
          <w:sz w:val="18"/>
          <w:szCs w:val="18"/>
          <w:color w:val="auto"/>
        </w:rPr>
        <w:t xml:space="preserve">10.8† </w:t>
      </w:r>
      <w:hyperlink r:id="rId45">
        <w:r>
          <w:rPr>
            <w:rFonts w:ascii="Arial" w:cs="Arial" w:eastAsia="Arial" w:hAnsi="Arial"/>
            <w:sz w:val="18"/>
            <w:szCs w:val="18"/>
            <w:u w:val="single" w:color="auto"/>
            <w:color w:val="0000FF"/>
          </w:rPr>
          <w:t>Affiliated Managers Group, Inc. Deferred Compensation Plan (incorporated by reference to the Company’s Annual Report on Form 10-K for</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the fiscal year ended December 31, 2008 (No. 001-13459), filed March 2, 2009</w:t>
        </w:r>
        <w:r>
          <w:rPr>
            <w:rFonts w:ascii="Arial" w:cs="Arial" w:eastAsia="Arial" w:hAnsi="Arial"/>
            <w:sz w:val="18"/>
            <w:szCs w:val="18"/>
            <w:color w:val="000000"/>
          </w:rPr>
          <w:t>)</w:t>
        </w:r>
      </w:hyperlink>
    </w:p>
    <w:p>
      <w:pPr>
        <w:spacing w:after="0" w:line="8" w:lineRule="exact"/>
        <w:rPr>
          <w:sz w:val="20"/>
          <w:szCs w:val="20"/>
          <w:color w:val="auto"/>
        </w:rPr>
      </w:pPr>
    </w:p>
    <w:p>
      <w:pPr>
        <w:ind w:left="980" w:right="3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46">
        <w:r>
          <w:rPr>
            <w:rFonts w:ascii="Arial" w:cs="Arial" w:eastAsia="Arial" w:hAnsi="Arial"/>
            <w:sz w:val="18"/>
            <w:szCs w:val="18"/>
            <w:u w:val="single" w:color="auto"/>
            <w:color w:val="0000FF"/>
          </w:rPr>
          <w:t>Affiliated Managers Group, Inc. Long-Term Equity Interests Plan 2010, LP (incorporated by reference to the Company’s Current Report on</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Form 8-K (No. 001-13459), filed December 17, 2010)</w:t>
        </w:r>
      </w:hyperlink>
    </w:p>
    <w:p>
      <w:pPr>
        <w:spacing w:after="0" w:line="8" w:lineRule="exact"/>
        <w:rPr>
          <w:sz w:val="20"/>
          <w:szCs w:val="20"/>
          <w:color w:val="auto"/>
        </w:rPr>
      </w:pPr>
    </w:p>
    <w:p>
      <w:pPr>
        <w:ind w:left="980" w:right="5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47">
        <w:r>
          <w:rPr>
            <w:rFonts w:ascii="Arial" w:cs="Arial" w:eastAsia="Arial" w:hAnsi="Arial"/>
            <w:sz w:val="18"/>
            <w:szCs w:val="18"/>
            <w:u w:val="single" w:color="auto"/>
            <w:color w:val="0000FF"/>
          </w:rPr>
          <w:t>Affiliated Managers Group, Inc. 2011 Stock Option and Incentive Plan (incorporated by reference to the Company’s Proxy Statement on</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Schedule 14A (No. 001-13459), filed April 19, 2011)</w:t>
        </w:r>
      </w:hyperlink>
    </w:p>
    <w:p>
      <w:pPr>
        <w:spacing w:after="0" w:line="8" w:lineRule="exact"/>
        <w:rPr>
          <w:sz w:val="20"/>
          <w:szCs w:val="20"/>
          <w:color w:val="auto"/>
        </w:rPr>
      </w:pPr>
    </w:p>
    <w:p>
      <w:pPr>
        <w:ind w:left="980" w:right="320" w:hanging="62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8">
        <w:r>
          <w:rPr>
            <w:rFonts w:ascii="Arial" w:cs="Arial" w:eastAsia="Arial" w:hAnsi="Arial"/>
            <w:sz w:val="18"/>
            <w:szCs w:val="18"/>
            <w:u w:val="single" w:color="auto"/>
            <w:color w:val="0000FF"/>
          </w:rPr>
          <w:t>Affiliated Managers Group, Inc. Long-Term Equity Interests Plan 2011, LP (incorporated by reference to the Company’s Annual Report on</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Form 10-K for the fiscal year ended December 31, 2011 (No. 001-13459), filed February 23, 2012)</w:t>
        </w:r>
      </w:hyperlink>
    </w:p>
    <w:p>
      <w:pPr>
        <w:spacing w:after="0" w:line="8" w:lineRule="exact"/>
        <w:rPr>
          <w:sz w:val="20"/>
          <w:szCs w:val="20"/>
          <w:color w:val="auto"/>
        </w:rPr>
      </w:pPr>
    </w:p>
    <w:p>
      <w:pPr>
        <w:ind w:left="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49">
        <w:r>
          <w:rPr>
            <w:rFonts w:ascii="Arial" w:cs="Arial" w:eastAsia="Arial" w:hAnsi="Arial"/>
            <w:sz w:val="18"/>
            <w:szCs w:val="18"/>
            <w:u w:val="single" w:color="auto"/>
            <w:color w:val="0000FF"/>
          </w:rPr>
          <w:t>Affiliated Managers Group, Inc. Long-Term Equity Interests Plan, LP (incorporated by reference to the Company’s Annual Report on Form 10-</w:t>
        </w:r>
      </w:hyperlink>
      <w:hyperlink r:id="rId49">
        <w:r>
          <w:rPr>
            <w:rFonts w:ascii="Arial" w:cs="Arial" w:eastAsia="Arial" w:hAnsi="Arial"/>
            <w:sz w:val="18"/>
            <w:szCs w:val="18"/>
            <w:u w:val="single" w:color="auto"/>
            <w:color w:val="0000FF"/>
          </w:rPr>
          <w:t>K for the fiscal year ended December 31, 2012 (No. 001-13459), filed February 22, 2013)</w:t>
        </w:r>
      </w:hyperlink>
    </w:p>
    <w:p>
      <w:pPr>
        <w:spacing w:after="0" w:line="8"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50">
        <w:r>
          <w:rPr>
            <w:rFonts w:ascii="Arial" w:cs="Arial" w:eastAsia="Arial" w:hAnsi="Arial"/>
            <w:sz w:val="16"/>
            <w:szCs w:val="16"/>
            <w:u w:val="single" w:color="auto"/>
            <w:color w:val="0000FF"/>
          </w:rPr>
          <w:t>Affiliated Managers Group, Inc. 2013 Incentive Stock Award Plan (incorporated by reference to the Company’s Proxy Statement on Schedule</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14A (No. 001-13459), filed April 30, 2013)</w:t>
        </w:r>
      </w:hyperlink>
    </w:p>
    <w:p>
      <w:pPr>
        <w:spacing w:after="0" w:line="4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10.14†  </w:t>
      </w:r>
      <w:hyperlink w:anchor="page98">
        <w:r>
          <w:rPr>
            <w:rFonts w:ascii="Arial" w:cs="Arial" w:eastAsia="Arial" w:hAnsi="Arial"/>
            <w:sz w:val="18"/>
            <w:szCs w:val="18"/>
            <w:u w:val="single" w:color="auto"/>
            <w:color w:val="0000FF"/>
          </w:rPr>
          <w:t>Amendment No. 1 to Affiliated Managers Group, Inc. 2013 Incentive Stock Award Plan*</w:t>
        </w:r>
      </w:hyperlink>
    </w:p>
    <w:p>
      <w:pPr>
        <w:spacing w:after="0" w:line="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10.15†  </w:t>
      </w:r>
      <w:hyperlink w:anchor="page99">
        <w:r>
          <w:rPr>
            <w:rFonts w:ascii="Arial" w:cs="Arial" w:eastAsia="Arial" w:hAnsi="Arial"/>
            <w:sz w:val="18"/>
            <w:szCs w:val="18"/>
            <w:u w:val="single" w:color="auto"/>
            <w:color w:val="0000FF"/>
          </w:rPr>
          <w:t>Form of Restricted Stock Unit Award Agreement pursuant to Affiliated Managers Group, Inc. 2013 Incentive Stock Award Plan*</w:t>
        </w:r>
      </w:hyperlink>
    </w:p>
    <w:p>
      <w:pPr>
        <w:spacing w:after="0" w:line="63" w:lineRule="exact"/>
        <w:rPr>
          <w:sz w:val="20"/>
          <w:szCs w:val="20"/>
          <w:color w:val="auto"/>
        </w:rPr>
      </w:pPr>
    </w:p>
    <w:p>
      <w:pPr>
        <w:ind w:left="980" w:right="200" w:hanging="629"/>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10.16† </w:t>
      </w:r>
      <w:hyperlink r:id="rId51">
        <w:r>
          <w:rPr>
            <w:rFonts w:ascii="Arial" w:cs="Arial" w:eastAsia="Arial" w:hAnsi="Arial"/>
            <w:sz w:val="16"/>
            <w:szCs w:val="16"/>
            <w:u w:val="single" w:color="auto"/>
            <w:color w:val="0000FF"/>
          </w:rPr>
          <w:t>Form of Stock Option Agreement pursuant to Affiliated Managers Group, Inc. Stock Option and Incentive Plan (incorporated by reference to</w:t>
        </w:r>
      </w:hyperlink>
      <w:r>
        <w:rPr>
          <w:rFonts w:ascii="Arial" w:cs="Arial" w:eastAsia="Arial" w:hAnsi="Arial"/>
          <w:sz w:val="16"/>
          <w:szCs w:val="16"/>
          <w:color w:val="auto"/>
        </w:rPr>
        <w:t xml:space="preserve"> </w:t>
      </w:r>
      <w:hyperlink r:id="rId51">
        <w:r>
          <w:rPr>
            <w:rFonts w:ascii="Arial" w:cs="Arial" w:eastAsia="Arial" w:hAnsi="Arial"/>
            <w:sz w:val="16"/>
            <w:szCs w:val="16"/>
            <w:u w:val="single" w:color="auto"/>
            <w:color w:val="0000FF"/>
          </w:rPr>
          <w:t>the Company’s Annual Report on Form 10-K for the fiscal year ended December 31, 2018 (No. 001-13459), filed February 22, 2019)</w:t>
        </w:r>
      </w:hyperlink>
    </w:p>
    <w:p>
      <w:pPr>
        <w:jc w:val="both"/>
        <w:ind w:left="980" w:right="80" w:hanging="62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52">
        <w:r>
          <w:rPr>
            <w:rFonts w:ascii="Arial" w:cs="Arial" w:eastAsia="Arial" w:hAnsi="Arial"/>
            <w:sz w:val="18"/>
            <w:szCs w:val="18"/>
            <w:u w:val="single" w:color="auto"/>
            <w:color w:val="0000FF"/>
          </w:rPr>
          <w:t>Form of Restricted Stock Unit Award Agreement pursuant to Affiliated Managers Group, Inc. 2002 Stock Option Incentive Plan (incorporated</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by reference to the Company’s Annual Report on Form 10-K for the fiscal year ended December 31, 2018 (No. 001-13459), filed February 22,</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2019)</w:t>
        </w:r>
      </w:hyperlink>
    </w:p>
    <w:p>
      <w:pPr>
        <w:spacing w:after="0" w:line="1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w:anchor="page113">
        <w:r>
          <w:rPr>
            <w:rFonts w:ascii="Arial" w:cs="Arial" w:eastAsia="Arial" w:hAnsi="Arial"/>
            <w:sz w:val="18"/>
            <w:szCs w:val="18"/>
            <w:u w:val="single" w:color="auto"/>
            <w:color w:val="0000FF"/>
          </w:rPr>
          <w:t>Form of Award Agreement pursuant to Affiliated Managers Group, Inc. Incentive Plan*</w:t>
        </w:r>
      </w:hyperlink>
    </w:p>
    <w:p>
      <w:pPr>
        <w:spacing w:after="0" w:line="6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10.19†  </w:t>
      </w:r>
      <w:hyperlink w:anchor="page130">
        <w:r>
          <w:rPr>
            <w:rFonts w:ascii="Arial" w:cs="Arial" w:eastAsia="Arial" w:hAnsi="Arial"/>
            <w:sz w:val="18"/>
            <w:szCs w:val="18"/>
            <w:u w:val="single" w:color="auto"/>
            <w:color w:val="0000FF"/>
          </w:rPr>
          <w:t>Form of Award Agreement pursuant to Affiliated Managers Group, Inc. Deferred Compensation Plan*</w:t>
        </w:r>
      </w:hyperlink>
    </w:p>
    <w:p>
      <w:pPr>
        <w:spacing w:after="0" w:line="63" w:lineRule="exact"/>
        <w:rPr>
          <w:rFonts w:ascii="Arial" w:cs="Arial" w:eastAsia="Arial" w:hAnsi="Arial"/>
          <w:sz w:val="18"/>
          <w:szCs w:val="18"/>
          <w:color w:val="auto"/>
        </w:rPr>
      </w:pPr>
    </w:p>
    <w:p>
      <w:pPr>
        <w:jc w:val="both"/>
        <w:ind w:left="980" w:right="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53">
        <w:r>
          <w:rPr>
            <w:rFonts w:ascii="Arial" w:cs="Arial" w:eastAsia="Arial" w:hAnsi="Arial"/>
            <w:sz w:val="18"/>
            <w:szCs w:val="18"/>
            <w:u w:val="single" w:color="auto"/>
            <w:color w:val="0000FF"/>
          </w:rPr>
          <w:t>Form of Affiliated Managers Group, Inc. Award Agreement (incorporated by reference to the Company’s Annual Report on Form 10-K for the</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FF"/>
          </w:rPr>
          <w:t>fiscal year ended December 31, 2013 (No. 001-13459), filed February 27, 2014)</w:t>
        </w:r>
      </w:hyperlink>
    </w:p>
    <w:p>
      <w:pPr>
        <w:spacing w:after="0" w:line="8" w:lineRule="exact"/>
        <w:rPr>
          <w:sz w:val="20"/>
          <w:szCs w:val="20"/>
          <w:color w:val="auto"/>
        </w:rPr>
      </w:pPr>
    </w:p>
    <w:p>
      <w:pPr>
        <w:ind w:left="980" w:right="1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54">
        <w:r>
          <w:rPr>
            <w:rFonts w:ascii="Arial" w:cs="Arial" w:eastAsia="Arial" w:hAnsi="Arial"/>
            <w:sz w:val="18"/>
            <w:szCs w:val="18"/>
            <w:u w:val="single" w:color="auto"/>
            <w:color w:val="0000FF"/>
          </w:rPr>
          <w:t>Form of Indemnification Agreement entered into by each Director and Executive Officer (incorporated by reference to the Company’s Annual</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Report on Form 10-K for the fiscal year ended December 31, 2010 (No. 001-13459), filed March 1, 2011)</w:t>
        </w:r>
      </w:hyperlink>
    </w:p>
    <w:p>
      <w:pPr>
        <w:spacing w:after="0" w:line="8" w:lineRule="exact"/>
        <w:rPr>
          <w:sz w:val="20"/>
          <w:szCs w:val="20"/>
          <w:color w:val="auto"/>
        </w:rPr>
      </w:pPr>
    </w:p>
    <w:p>
      <w:pPr>
        <w:ind w:left="980" w:right="2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55">
        <w:r>
          <w:rPr>
            <w:rFonts w:ascii="Arial" w:cs="Arial" w:eastAsia="Arial" w:hAnsi="Arial"/>
            <w:sz w:val="18"/>
            <w:szCs w:val="18"/>
            <w:u w:val="single" w:color="auto"/>
            <w:color w:val="0000FF"/>
          </w:rPr>
          <w:t>Service Agreement, dated as of December 6, 2016, by and between Affiliated Managers Group, Inc. and Hugh P. B. Cutler (incorporated by</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reference to the Company’s Annual Report on Form 10-K (No. 001-13459), filed February 23, 2018)</w:t>
        </w:r>
      </w:hyperlink>
    </w:p>
    <w:p>
      <w:pPr>
        <w:spacing w:after="0" w:line="8" w:lineRule="exact"/>
        <w:rPr>
          <w:sz w:val="20"/>
          <w:szCs w:val="20"/>
          <w:color w:val="auto"/>
        </w:rPr>
      </w:pPr>
    </w:p>
    <w:p>
      <w:pPr>
        <w:ind w:left="980" w:right="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56">
        <w:r>
          <w:rPr>
            <w:rFonts w:ascii="Arial" w:cs="Arial" w:eastAsia="Arial" w:hAnsi="Arial"/>
            <w:sz w:val="18"/>
            <w:szCs w:val="18"/>
            <w:u w:val="single" w:color="auto"/>
            <w:color w:val="0000FF"/>
          </w:rPr>
          <w:t>Offer Letter Agreement, dated as of March 20, 2019, by and between Affiliated Managers Group, Inc. and Thomas M. Wojcik (incorporated by</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reference to the Company’s Quarterly Report on Form 10-Q (No. 001-13459), filed May 9, 2019)</w:t>
        </w:r>
      </w:hyperlink>
    </w:p>
    <w:p>
      <w:pPr>
        <w:spacing w:after="0" w:line="8" w:lineRule="exact"/>
        <w:rPr>
          <w:sz w:val="20"/>
          <w:szCs w:val="20"/>
          <w:color w:val="auto"/>
        </w:rPr>
      </w:pPr>
    </w:p>
    <w:p>
      <w:pPr>
        <w:ind w:left="980" w:hanging="53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57">
        <w:r>
          <w:rPr>
            <w:rFonts w:ascii="Arial" w:cs="Arial" w:eastAsia="Arial" w:hAnsi="Arial"/>
            <w:sz w:val="18"/>
            <w:szCs w:val="18"/>
            <w:u w:val="single" w:color="auto"/>
            <w:color w:val="0000FF"/>
          </w:rPr>
          <w:t>Amended and Restated Credit Agreement, dated as of January 18, 2019, by and among Affiliated Managers Group, Inc., Bank of America,</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N.A., as administrative agent, letter of credit issuer and swingline lender, and the other lending institutions from time to time party thereto, and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the exhibits and schedules thereto (incorporated by reference to the Company’s Current Report on Form 8-K (No. 001-13459), filed January 22,</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2019)</w:t>
        </w:r>
      </w:hyperlink>
    </w:p>
    <w:p>
      <w:pPr>
        <w:spacing w:after="0" w:line="25" w:lineRule="exact"/>
        <w:rPr>
          <w:rFonts w:ascii="Arial" w:cs="Arial" w:eastAsia="Arial" w:hAnsi="Arial"/>
          <w:sz w:val="18"/>
          <w:szCs w:val="18"/>
          <w:u w:val="single" w:color="auto"/>
          <w:color w:val="0000FF"/>
        </w:rPr>
      </w:pPr>
    </w:p>
    <w:p>
      <w:pPr>
        <w:ind w:left="980" w:hanging="539"/>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58">
        <w:r>
          <w:rPr>
            <w:rFonts w:ascii="Arial" w:cs="Arial" w:eastAsia="Arial" w:hAnsi="Arial"/>
            <w:sz w:val="17"/>
            <w:szCs w:val="17"/>
            <w:u w:val="single" w:color="auto"/>
            <w:color w:val="0000FF"/>
          </w:rPr>
          <w:t>Third Amended and Restated Term Credit Agreement, dated as of January 18, 2019, by and among Affiliated Managers Group, Inc., Bank of</w:t>
        </w:r>
      </w:hyperlink>
      <w:r>
        <w:rPr>
          <w:rFonts w:ascii="Arial" w:cs="Arial" w:eastAsia="Arial" w:hAnsi="Arial"/>
          <w:sz w:val="17"/>
          <w:szCs w:val="17"/>
          <w:color w:val="auto"/>
        </w:rPr>
        <w:t xml:space="preserve"> </w:t>
      </w:r>
      <w:hyperlink r:id="rId58">
        <w:r>
          <w:rPr>
            <w:rFonts w:ascii="Arial" w:cs="Arial" w:eastAsia="Arial" w:hAnsi="Arial"/>
            <w:sz w:val="17"/>
            <w:szCs w:val="17"/>
            <w:u w:val="single" w:color="auto"/>
            <w:color w:val="0000FF"/>
          </w:rPr>
          <w:t>America, N.A., as administrative agent, and the other lending institutions from time to time party thereto, and the exhibits and schedules thereto</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(incorporated by reference to the Company’s Current Report on Form 8-K (No. 001-13459), filed January 22, 2019)</w:t>
        </w:r>
      </w:hyperlink>
    </w:p>
    <w:p>
      <w:pPr>
        <w:spacing w:after="0" w:line="3" w:lineRule="exact"/>
        <w:rPr>
          <w:rFonts w:ascii="Arial" w:cs="Arial" w:eastAsia="Arial" w:hAnsi="Arial"/>
          <w:sz w:val="17"/>
          <w:szCs w:val="17"/>
          <w:color w:val="auto"/>
        </w:rPr>
      </w:pPr>
    </w:p>
    <w:p>
      <w:pPr>
        <w:ind w:left="980" w:right="4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59">
        <w:r>
          <w:rPr>
            <w:rFonts w:ascii="Arial" w:cs="Arial" w:eastAsia="Arial" w:hAnsi="Arial"/>
            <w:sz w:val="18"/>
            <w:szCs w:val="18"/>
            <w:u w:val="single" w:color="auto"/>
            <w:color w:val="0000FF"/>
          </w:rPr>
          <w:t>Form of Equity Distribution Agreement, dated as of March 27, 2019 (incorporated by reference to the Company’s Current Report on Form 8-K</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(No. 001-13459), filed March 27, 2019)</w:t>
        </w:r>
      </w:hyperlink>
    </w:p>
    <w:p>
      <w:pPr>
        <w:spacing w:after="0" w:line="8" w:lineRule="exact"/>
        <w:rPr>
          <w:sz w:val="20"/>
          <w:szCs w:val="20"/>
          <w:color w:val="auto"/>
        </w:rPr>
      </w:pPr>
    </w:p>
    <w:p>
      <w:pPr>
        <w:ind w:left="980" w:right="220" w:hanging="539"/>
        <w:spacing w:after="0" w:line="277" w:lineRule="auto"/>
        <w:rPr>
          <w:rFonts w:ascii="Arial" w:cs="Arial" w:eastAsia="Arial" w:hAnsi="Arial"/>
          <w:sz w:val="18"/>
          <w:szCs w:val="18"/>
          <w:color w:val="0000FF"/>
        </w:rPr>
      </w:pPr>
      <w:r>
        <w:rPr>
          <w:rFonts w:ascii="Arial" w:cs="Arial" w:eastAsia="Arial" w:hAnsi="Arial"/>
          <w:sz w:val="18"/>
          <w:szCs w:val="18"/>
          <w:color w:val="auto"/>
        </w:rPr>
        <w:t xml:space="preserve">10.27 </w:t>
      </w:r>
      <w:hyperlink r:id="rId60">
        <w:r>
          <w:rPr>
            <w:rFonts w:ascii="Arial" w:cs="Arial" w:eastAsia="Arial" w:hAnsi="Arial"/>
            <w:sz w:val="18"/>
            <w:szCs w:val="18"/>
            <w:u w:val="single" w:color="auto"/>
            <w:color w:val="0000FF"/>
          </w:rPr>
          <w:t>Form of Master Confirmation Letter Agreement, dated as of March 27, 2019 (incorporated by reference to the Company’s Current Report on</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Form 8-K (No. 001-13459), filed March 27, 2019</w:t>
        </w:r>
        <w:r>
          <w:rPr>
            <w:rFonts w:ascii="Arial" w:cs="Arial" w:eastAsia="Arial" w:hAnsi="Arial"/>
            <w:sz w:val="18"/>
            <w:szCs w:val="18"/>
            <w:color w:val="000000"/>
          </w:rPr>
          <w:t>)</w:t>
        </w:r>
      </w:hyperlink>
    </w:p>
    <w:p>
      <w:pPr>
        <w:spacing w:after="0" w:line="8"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21.1  </w:t>
      </w:r>
      <w:hyperlink w:anchor="page148">
        <w:r>
          <w:rPr>
            <w:rFonts w:ascii="Arial" w:cs="Arial" w:eastAsia="Arial" w:hAnsi="Arial"/>
            <w:sz w:val="18"/>
            <w:szCs w:val="18"/>
            <w:u w:val="single" w:color="auto"/>
            <w:color w:val="0000FF"/>
          </w:rPr>
          <w:t>Schedule of Subsidiaries*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125"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52">
        <w:r>
          <w:rPr>
            <w:rFonts w:ascii="Arial" w:cs="Arial" w:eastAsia="Arial" w:hAnsi="Arial"/>
            <w:sz w:val="18"/>
            <w:szCs w:val="18"/>
            <w:u w:val="single" w:color="auto"/>
            <w:color w:val="0000FF"/>
          </w:rPr>
          <w:t>Consent of PricewaterhouseCoopers LLP*</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31.1  </w:t>
      </w:r>
      <w:hyperlink w:anchor="page154">
        <w:r>
          <w:rPr>
            <w:rFonts w:ascii="Arial" w:cs="Arial" w:eastAsia="Arial" w:hAnsi="Arial"/>
            <w:sz w:val="18"/>
            <w:szCs w:val="18"/>
            <w:u w:val="single" w:color="auto"/>
            <w:color w:val="0000FF"/>
          </w:rPr>
          <w:t>Certification of Registrant’s Chief Executive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31.2  </w:t>
      </w:r>
      <w:hyperlink w:anchor="page156">
        <w:r>
          <w:rPr>
            <w:rFonts w:ascii="Arial" w:cs="Arial" w:eastAsia="Arial" w:hAnsi="Arial"/>
            <w:sz w:val="18"/>
            <w:szCs w:val="18"/>
            <w:u w:val="single" w:color="auto"/>
            <w:color w:val="0000FF"/>
          </w:rPr>
          <w:t>Certification of Registrant’s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32.1  </w:t>
      </w:r>
      <w:hyperlink w:anchor="page158">
        <w:r>
          <w:rPr>
            <w:rFonts w:ascii="Arial" w:cs="Arial" w:eastAsia="Arial" w:hAnsi="Arial"/>
            <w:sz w:val="18"/>
            <w:szCs w:val="18"/>
            <w:u w:val="single" w:color="auto"/>
            <w:color w:val="0000FF"/>
          </w:rPr>
          <w:t>Certification of Registrant’s Chief Executive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32.2  </w:t>
      </w:r>
      <w:hyperlink w:anchor="page160">
        <w:r>
          <w:rPr>
            <w:rFonts w:ascii="Arial" w:cs="Arial" w:eastAsia="Arial" w:hAnsi="Arial"/>
            <w:sz w:val="18"/>
            <w:szCs w:val="18"/>
            <w:u w:val="single" w:color="auto"/>
            <w:color w:val="0000FF"/>
          </w:rPr>
          <w:t>Certification of Registrant’s Chief Financial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980" w:hanging="405"/>
        <w:spacing w:after="0" w:line="295"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following financial statements from the Registrant’s Annual Report on Form 10-K for the fiscal year ended December 31, 2019 are filed herewith, formatted in XBRL (Inline eXtensible Business Reporting Language): (i) the Consolidated Statements of Income for the years ended December 31, 2019, 2018, and 2017, (ii) the Consolidated Balance Sheets as of December 31, 2019 and December 31, 2018, (iii) the Consolidated Statement of Equity for the years ended December 31, 2019, 2018, and 2017, (iv) the Consolidated Statements of Cash Flows for the years ended December 31, 2019, 2018, and 2017, and (v) the Notes to the Consolidated Financial Statements</w:t>
      </w:r>
    </w:p>
    <w:p>
      <w:pPr>
        <w:spacing w:after="0" w:line="4" w:lineRule="exact"/>
        <w:rPr>
          <w:sz w:val="20"/>
          <w:szCs w:val="20"/>
          <w:color w:val="auto"/>
        </w:rPr>
      </w:pPr>
    </w:p>
    <w:p>
      <w:pPr>
        <w:ind w:left="980" w:right="180" w:hanging="405"/>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fiscal year ended December 31, 2019, formatted in XBRL (Inline eXtensible Business Reporting Language) and contained in Exhibit 101</w:t>
      </w:r>
    </w:p>
    <w:p>
      <w:pPr>
        <w:spacing w:after="0" w:line="197" w:lineRule="exact"/>
        <w:rPr>
          <w:rFonts w:ascii="Arial" w:cs="Arial" w:eastAsia="Arial" w:hAnsi="Arial"/>
          <w:sz w:val="18"/>
          <w:szCs w:val="18"/>
          <w:color w:val="auto"/>
        </w:rPr>
      </w:pP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457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125" w:right="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AFFILIATED MANAGERS GROUP, INC.</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49" w:lineRule="exact"/>
        <w:rPr>
          <w:sz w:val="20"/>
          <w:szCs w:val="20"/>
          <w:color w:val="auto"/>
        </w:rPr>
      </w:pPr>
    </w:p>
    <w:p>
      <w:pPr>
        <w:ind w:left="40"/>
        <w:spacing w:after="0"/>
        <w:tabs>
          <w:tab w:leader="none" w:pos="6060" w:val="left"/>
          <w:tab w:leader="none" w:pos="6620" w:val="left"/>
        </w:tabs>
        <w:rPr>
          <w:sz w:val="20"/>
          <w:szCs w:val="20"/>
          <w:color w:val="auto"/>
        </w:rPr>
      </w:pPr>
      <w:r>
        <w:rPr>
          <w:rFonts w:ascii="Arial" w:cs="Arial" w:eastAsia="Arial" w:hAnsi="Arial"/>
          <w:sz w:val="18"/>
          <w:szCs w:val="18"/>
          <w:color w:val="auto"/>
        </w:rPr>
        <w:t>Date: February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35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5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9"/>
              </w:rPr>
              <w:t>Signature</w:t>
            </w:r>
          </w:p>
        </w:tc>
        <w:tc>
          <w:tcPr>
            <w:tcW w:w="1860" w:type="dxa"/>
            <w:vAlign w:val="bottom"/>
          </w:tcPr>
          <w:p>
            <w:pPr>
              <w:spacing w:after="0"/>
              <w:rPr>
                <w:sz w:val="14"/>
                <w:szCs w:val="14"/>
                <w:color w:val="auto"/>
              </w:rPr>
            </w:pPr>
          </w:p>
        </w:tc>
        <w:tc>
          <w:tcPr>
            <w:tcW w:w="260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651"/>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SEAN M. HEALEY</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Executive Chairman</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Sean M. Healey</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JAY C. HORGEN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President, Chief Executive Officer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41"/>
        </w:trPr>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93"/>
              </w:rPr>
              <w:t>(Principal Executive Officer) and Director</w:t>
            </w: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Jay C. Horgen</w:t>
            </w:r>
          </w:p>
        </w:tc>
        <w:tc>
          <w:tcPr>
            <w:tcW w:w="446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THOMAS M. WOJCIK</w:t>
            </w:r>
          </w:p>
        </w:tc>
        <w:tc>
          <w:tcPr>
            <w:tcW w:w="44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Chief Financial Officer (Principal Financial and</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109"/>
        </w:trPr>
        <w:tc>
          <w:tcPr>
            <w:tcW w:w="15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460" w:type="dxa"/>
            <w:vAlign w:val="bottom"/>
            <w:gridSpan w:val="3"/>
            <w:vMerge w:val="restart"/>
          </w:tcPr>
          <w:p>
            <w:pPr>
              <w:jc w:val="center"/>
              <w:ind w:right="480"/>
              <w:spacing w:after="0"/>
              <w:rPr>
                <w:sz w:val="20"/>
                <w:szCs w:val="20"/>
                <w:color w:val="auto"/>
              </w:rPr>
            </w:pPr>
            <w:r>
              <w:rPr>
                <w:rFonts w:ascii="Arial" w:cs="Arial" w:eastAsia="Arial" w:hAnsi="Arial"/>
                <w:sz w:val="18"/>
                <w:szCs w:val="18"/>
                <w:color w:val="auto"/>
                <w:w w:val="95"/>
              </w:rPr>
              <w:t>Principal</w:t>
            </w: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Thomas M. Wojcik</w:t>
            </w:r>
          </w:p>
        </w:tc>
        <w:tc>
          <w:tcPr>
            <w:tcW w:w="44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60" w:type="dxa"/>
            <w:vAlign w:val="bottom"/>
            <w:gridSpan w:val="3"/>
            <w:vMerge w:val="continue"/>
          </w:tcPr>
          <w:p>
            <w:pPr>
              <w:spacing w:after="0"/>
              <w:rPr>
                <w:sz w:val="20"/>
                <w:szCs w:val="20"/>
                <w:color w:val="auto"/>
              </w:rPr>
            </w:pPr>
          </w:p>
        </w:tc>
        <w:tc>
          <w:tcPr>
            <w:tcW w:w="44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Accounting Officer)</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/s/ NATHANIEL DALTON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Senior Advisor and 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Nathaniel Dalton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SAMUEL T. BYRNE</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Samuel T. Byrne</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/s/ DWIGHT D. CHURCHILL</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Dwight D. Churchill</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GLENN EARLE</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Glenn Earle</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NIALL FERGUSON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Niall Ferguson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TRACY P. PALANDJIAN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Tracy P. Palandjian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PATRICK T. RYAN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Patrick T. Ryan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KAREN L. YERBURGH</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Karen L. Yerburgh</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JIDE J. ZEITLIN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Jide J. Zeitlin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60" w:type="dxa"/>
            <w:vAlign w:val="bottom"/>
            <w:gridSpan w:val="3"/>
          </w:tcPr>
          <w:p>
            <w:pPr>
              <w:jc w:val="right"/>
              <w:ind w:right="2320"/>
              <w:spacing w:after="0"/>
              <w:rPr>
                <w:sz w:val="20"/>
                <w:szCs w:val="20"/>
                <w:color w:val="auto"/>
              </w:rPr>
            </w:pPr>
            <w:r>
              <w:rPr>
                <w:rFonts w:ascii="Arial" w:cs="Arial" w:eastAsia="Arial" w:hAnsi="Arial"/>
                <w:sz w:val="18"/>
                <w:szCs w:val="18"/>
                <w:color w:val="auto"/>
              </w:rPr>
              <w:t>82</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4.11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Affiliated Managers Group, Inc. (“AMG”, “we”, “us” or “our”) has two classes of securities registered under Section 12 of the Securities Exchange Act of 1934, as amended (the “Exchange Act”): (i) common stock, par value $0.01 per share (“common stock”), and (ii) 5.875% Junior Subordinated Notes due 2059 (the “Notes”).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6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21"/>
          <w:szCs w:val="21"/>
          <w:color w:val="auto"/>
        </w:rPr>
        <w:t>The following is a summary description of certain material terms and provisions of our common stock, and may not contain all the information that is important to you. Therefore, we encourage you to read our charter, our by-laws and applicable provisions of the Delaware General Corporation Law for additional information related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18" w:lineRule="exact"/>
        <w:rPr>
          <w:sz w:val="20"/>
          <w:szCs w:val="20"/>
          <w:color w:val="auto"/>
        </w:rPr>
      </w:pPr>
    </w:p>
    <w:p>
      <w:pPr>
        <w:ind w:right="60" w:firstLine="432"/>
        <w:spacing w:after="0" w:line="297" w:lineRule="auto"/>
        <w:rPr>
          <w:sz w:val="20"/>
          <w:szCs w:val="20"/>
          <w:color w:val="auto"/>
        </w:rPr>
      </w:pPr>
      <w:r>
        <w:rPr>
          <w:rFonts w:ascii="Arial" w:cs="Arial" w:eastAsia="Arial" w:hAnsi="Arial"/>
          <w:sz w:val="19"/>
          <w:szCs w:val="19"/>
          <w:color w:val="auto"/>
        </w:rPr>
        <w:t>Under our charter, we currently have authority to issue up to 150,000,000 shares of common stock, and up to 3,000,000 shares of Class B non-voting common stock, par value $0.01 per share (“Class B non-voting common stock”). Under Delaware law, stockholders generally are not responsible for our debts or obligations. No shares of Class B non-voting common stock are currently issued and outstanding. All shares of common stock currently outstanding are duly authorized, fully paid and nonassessable. Our common stock is listed on the New York Stock Exchange under the symbol “AMG”.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18" w:lineRule="exact"/>
        <w:rPr>
          <w:sz w:val="20"/>
          <w:szCs w:val="20"/>
          <w:color w:val="auto"/>
        </w:rPr>
      </w:pPr>
    </w:p>
    <w:p>
      <w:pPr>
        <w:ind w:right="160" w:firstLine="432"/>
        <w:spacing w:after="0" w:line="290" w:lineRule="auto"/>
        <w:rPr>
          <w:sz w:val="20"/>
          <w:szCs w:val="20"/>
          <w:color w:val="auto"/>
        </w:rPr>
      </w:pPr>
      <w:r>
        <w:rPr>
          <w:rFonts w:ascii="Arial" w:cs="Arial" w:eastAsia="Arial" w:hAnsi="Arial"/>
          <w:sz w:val="19"/>
          <w:szCs w:val="19"/>
          <w:color w:val="auto"/>
        </w:rPr>
        <w:t>Subject to preferential rights of any other class or series of stock, holders of common stock and Class B non-voting common stock may receive dividends out of assets that we can legally use to pay dividends, when, as and if they are declared by our board of directors, with each share of common stock and each share of Class B non-voting common stock sharing equally in such dividends (with each share of Class B non-voting common stock being equal to the number of shares of common stock into which it would then be convertible). If dividends are declared that are payable in shares of common stock or shares of Class B non-voting common stock, such dividends will be declared payable at the same rate in both classes of stock and the dividends payable in shares of common stock will be payable to the holders of shares of common stock, and the dividends payable in shares of Class B non-voting common stock will be payable to the holders of shares of Class B non-voting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18" w:lineRule="exact"/>
        <w:rPr>
          <w:sz w:val="20"/>
          <w:szCs w:val="20"/>
          <w:color w:val="auto"/>
        </w:rPr>
      </w:pPr>
    </w:p>
    <w:p>
      <w:pPr>
        <w:ind w:right="60" w:firstLine="432"/>
        <w:spacing w:after="0" w:line="297" w:lineRule="auto"/>
        <w:rPr>
          <w:sz w:val="20"/>
          <w:szCs w:val="20"/>
          <w:color w:val="auto"/>
        </w:rPr>
      </w:pPr>
      <w:r>
        <w:rPr>
          <w:rFonts w:ascii="Arial" w:cs="Arial" w:eastAsia="Arial" w:hAnsi="Arial"/>
          <w:sz w:val="19"/>
          <w:szCs w:val="19"/>
          <w:color w:val="auto"/>
        </w:rPr>
        <w:t>Holders of common stock will have the exclusive power to vote on all matters presented to our stockholders, including the election of directors, except as otherwise required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 uncontested election.</w:t>
      </w:r>
    </w:p>
    <w:p>
      <w:pPr>
        <w:sectPr>
          <w:pgSz w:w="11900" w:h="16838" w:orient="portrait"/>
          <w:cols w:equalWidth="0" w:num="1">
            <w:col w:w="11420"/>
          </w:cols>
          <w:pgMar w:left="240" w:top="558"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Liquidation/Dissolution Rights</w:t>
      </w:r>
    </w:p>
    <w:p>
      <w:pPr>
        <w:spacing w:after="0" w:line="118" w:lineRule="exact"/>
        <w:rPr>
          <w:sz w:val="20"/>
          <w:szCs w:val="20"/>
          <w:color w:val="auto"/>
        </w:rPr>
      </w:pPr>
    </w:p>
    <w:p>
      <w:pPr>
        <w:ind w:right="60" w:firstLine="432"/>
        <w:spacing w:after="0" w:line="248" w:lineRule="auto"/>
        <w:rPr>
          <w:sz w:val="20"/>
          <w:szCs w:val="20"/>
          <w:color w:val="auto"/>
        </w:rPr>
      </w:pPr>
      <w:r>
        <w:rPr>
          <w:rFonts w:ascii="Arial" w:cs="Arial" w:eastAsia="Arial" w:hAnsi="Arial"/>
          <w:sz w:val="22"/>
          <w:szCs w:val="22"/>
          <w:color w:val="auto"/>
        </w:rPr>
        <w:t>Subject to the preferential rights of any other class or series of stock, holders of shares of our common stock and Class B non-voting common stock shall be entitled to share ratably in the remaining assets available for distribution in the event we are liquidated, dissolved or our affairs are wound up after we pay or make adequate provision for all of our known debts and liabilities (with each share of Class B non-voting common stock being equal to the number of shares of common stock into which it would then be convertible).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118" w:lineRule="exact"/>
        <w:rPr>
          <w:sz w:val="20"/>
          <w:szCs w:val="20"/>
          <w:color w:val="auto"/>
        </w:rPr>
      </w:pPr>
    </w:p>
    <w:p>
      <w:pPr>
        <w:ind w:right="240" w:firstLine="432"/>
        <w:spacing w:after="0" w:line="263" w:lineRule="auto"/>
        <w:rPr>
          <w:sz w:val="20"/>
          <w:szCs w:val="20"/>
          <w:color w:val="auto"/>
        </w:rPr>
      </w:pPr>
      <w:r>
        <w:rPr>
          <w:rFonts w:ascii="Arial" w:cs="Arial" w:eastAsia="Arial" w:hAnsi="Arial"/>
          <w:sz w:val="21"/>
          <w:szCs w:val="21"/>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shares of our common stock have no conversion, sinking fund or redemption rights, or preemptive rights to subscribe for any of our securities, other than the conversion rights afforded to the holders of our Class B non-voting common stock that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 of our Charter, our By-Laws and Delaware Law</w:t>
      </w:r>
    </w:p>
    <w:p>
      <w:pPr>
        <w:spacing w:after="0" w:line="118" w:lineRule="exact"/>
        <w:rPr>
          <w:sz w:val="20"/>
          <w:szCs w:val="20"/>
          <w:color w:val="auto"/>
        </w:rPr>
      </w:pPr>
    </w:p>
    <w:p>
      <w:pPr>
        <w:ind w:firstLine="432"/>
        <w:spacing w:after="0" w:line="258" w:lineRule="auto"/>
        <w:rPr>
          <w:sz w:val="20"/>
          <w:szCs w:val="20"/>
          <w:color w:val="auto"/>
        </w:rPr>
      </w:pPr>
      <w:r>
        <w:rPr>
          <w:rFonts w:ascii="Arial" w:cs="Arial" w:eastAsia="Arial" w:hAnsi="Arial"/>
          <w:sz w:val="21"/>
          <w:szCs w:val="21"/>
          <w:color w:val="auto"/>
        </w:rPr>
        <w:t>Under Delaware law, a corporation generally cannot dissolve, amend its charter, merge, sell all or substantially all of its assets, engage in a share exchange or engage in similar transactions outside the ordinary course of business unless approved by the affirmative vote of stockholders holding a majority of the shares entitled to vote on the matter, unless a different percentage is set forth in the corporation’s charter, which percentage will not in any event be less than a majority of all of the shares entitled to vote on such matter. Our charter provides that whenever any vote of the holders of voting stock is required to amend or repeal any provision of the charter, then in addition to any other vote of the holders of voting stock that is required by the charter or by-laws, the affirmative vote of the holders of a majority of our outstanding shares of stock entitled to vote on such amendment or repeal, voting together as a single class, is required. However, with respect to the amendment or repeal of any of the provisions of our charter relating to stockholder action without an annual or special meeting, the election, term or removal of directors, vacancies on the board of directors, or the limitation of liability of directors, the affirmative vote of the holders of at least eighty percent (80%) of our outstanding shares of stock entitled to vote on such amendment or repeal, voting together as a single class, will be required.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Class B Non-Voting Common Stock</w:t>
      </w:r>
    </w:p>
    <w:p>
      <w:pPr>
        <w:spacing w:after="0" w:line="118" w:lineRule="exact"/>
        <w:rPr>
          <w:sz w:val="20"/>
          <w:szCs w:val="20"/>
          <w:color w:val="auto"/>
        </w:rPr>
      </w:pPr>
    </w:p>
    <w:p>
      <w:pPr>
        <w:ind w:right="20" w:firstLine="432"/>
        <w:spacing w:after="0" w:line="248" w:lineRule="auto"/>
        <w:rPr>
          <w:sz w:val="20"/>
          <w:szCs w:val="20"/>
          <w:color w:val="auto"/>
        </w:rPr>
      </w:pPr>
      <w:r>
        <w:rPr>
          <w:rFonts w:ascii="Arial" w:cs="Arial" w:eastAsia="Arial" w:hAnsi="Arial"/>
          <w:sz w:val="22"/>
          <w:szCs w:val="22"/>
          <w:color w:val="auto"/>
        </w:rPr>
        <w:t>The holders of our Class B non-voting common stock generally have the same rights and privileges as holders of our common stock, except that holders of Class B non-voting common stock do not have any voting rights other than those which may be provided under our charter or applicable law. Each share of Class B non-voting common stock is convertible, at the option of the holder, into one share of common stock; provided, that such conversion is not inconsistent with any regulation, rule or other requirement of any governmental authority applicable to the holder.</w:t>
      </w:r>
    </w:p>
    <w:p>
      <w:pPr>
        <w:spacing w:after="0" w:line="84" w:lineRule="exact"/>
        <w:rPr>
          <w:sz w:val="20"/>
          <w:szCs w:val="20"/>
          <w:color w:val="auto"/>
        </w:rPr>
      </w:pPr>
    </w:p>
    <w:p>
      <w:pPr>
        <w:ind w:right="280" w:firstLine="432"/>
        <w:spacing w:after="0" w:line="287" w:lineRule="auto"/>
        <w:rPr>
          <w:sz w:val="20"/>
          <w:szCs w:val="20"/>
          <w:color w:val="auto"/>
        </w:rPr>
      </w:pPr>
      <w:r>
        <w:rPr>
          <w:rFonts w:ascii="Arial" w:cs="Arial" w:eastAsia="Arial" w:hAnsi="Arial"/>
          <w:sz w:val="21"/>
          <w:szCs w:val="21"/>
          <w:color w:val="auto"/>
        </w:rPr>
        <w:t>To the extent the holders of Class B non-voting common stock are entitled to vote under our charter or applicable law, such holders shall vote together as a single class with the holders of common stock, except as required by law.</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ectPr>
          <w:pgSz w:w="11900" w:h="16838" w:orient="portrait"/>
          <w:cols w:equalWidth="0" w:num="1">
            <w:col w:w="11380"/>
          </w:cols>
          <w:pgMar w:left="240" w:top="774" w:right="27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DESCRIPTION OF JUNIOR SUBORDINATED NOTES</w:t>
      </w:r>
    </w:p>
    <w:p>
      <w:pPr>
        <w:spacing w:after="0" w:line="226" w:lineRule="exact"/>
        <w:rPr>
          <w:sz w:val="20"/>
          <w:szCs w:val="20"/>
          <w:color w:val="auto"/>
        </w:rPr>
      </w:pPr>
    </w:p>
    <w:p>
      <w:pPr>
        <w:ind w:firstLine="432"/>
        <w:spacing w:after="0" w:line="261" w:lineRule="auto"/>
        <w:rPr>
          <w:sz w:val="20"/>
          <w:szCs w:val="20"/>
          <w:color w:val="auto"/>
        </w:rPr>
      </w:pPr>
      <w:r>
        <w:rPr>
          <w:rFonts w:ascii="Arial" w:cs="Arial" w:eastAsia="Arial" w:hAnsi="Arial"/>
          <w:sz w:val="21"/>
          <w:szCs w:val="21"/>
          <w:color w:val="auto"/>
        </w:rPr>
        <w:t>The following is a summary description of certain material terms and provisions of the Notes, and may not contain all the information that is important to you. Therefore, you should read the Junior Subordinated Notes Indenture, dated as of March 27, 2019, between AMG and U.S. Bank National Association, as trustee (the “Trustee”) (the “Base Indenture”), as supplemented by the First Supplemental Indenture, dated as of March 27, 2019, between AMG and the Trustee (the Base Indenture, as supplemented by the First Supplemental Indenture, the “Junior Subordinated Indenture”), and the form of certificate evidencing the Notes, for additional information related to the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18" w:lineRule="exact"/>
        <w:rPr>
          <w:sz w:val="20"/>
          <w:szCs w:val="20"/>
          <w:color w:val="auto"/>
        </w:rPr>
      </w:pPr>
    </w:p>
    <w:p>
      <w:pPr>
        <w:ind w:right="80" w:firstLine="432"/>
        <w:spacing w:after="0" w:line="287" w:lineRule="auto"/>
        <w:rPr>
          <w:sz w:val="20"/>
          <w:szCs w:val="20"/>
          <w:color w:val="auto"/>
        </w:rPr>
      </w:pPr>
      <w:r>
        <w:rPr>
          <w:rFonts w:ascii="Arial" w:cs="Arial" w:eastAsia="Arial" w:hAnsi="Arial"/>
          <w:sz w:val="19"/>
          <w:szCs w:val="19"/>
          <w:color w:val="auto"/>
        </w:rPr>
        <w:t>The Notes are a series of junior subordinated notes issued under the Junior Subordinated Indenture. The Notes were initially issued in the aggregate principal amount of $280.0 million. An additional $20.0 million of Notes was subsequently issued pursuant to the underwriters’ exercise of an overallotment option, increasing the total amount of Notes issued to $300.0 million, which remains the aggregate principal amount outstanding. The Junior Subordinated Indenture does not limit the aggregate principal amount of junior subordinated notes that may be issued under the Junior Subordinated Indenture and provides that junior subordinated notes may be issued from time to time in one or more series pursuant to an indenture supplemental to the Junior Subordinated Indenture. We may, at any time and without the consent of the holders of the Notes, issue additional notes having the same ranking and the same interest rate, maturity and other terms as the Notes (except for the public offering price and issue date and the initial interest accrual date and initial Interest Payment Date (as defined below), if applicable). Any additional notes having such similar terms, together with the Notes, will constitute a single series of junior subordinated notes under the Junior Subordinated Indenture; provided that if such additional notes are not fungible with the outstanding Notes for U.S. federal income tax purposes, then they will be issued under a separate CUSIP number.</w:t>
      </w:r>
    </w:p>
    <w:p>
      <w:pPr>
        <w:spacing w:after="0" w:line="52" w:lineRule="exact"/>
        <w:rPr>
          <w:sz w:val="20"/>
          <w:szCs w:val="20"/>
          <w:color w:val="auto"/>
        </w:rPr>
      </w:pPr>
    </w:p>
    <w:p>
      <w:pPr>
        <w:ind w:right="400" w:firstLine="432"/>
        <w:spacing w:after="0" w:line="263" w:lineRule="auto"/>
        <w:rPr>
          <w:sz w:val="20"/>
          <w:szCs w:val="20"/>
          <w:color w:val="auto"/>
        </w:rPr>
      </w:pPr>
      <w:r>
        <w:rPr>
          <w:rFonts w:ascii="Arial" w:cs="Arial" w:eastAsia="Arial" w:hAnsi="Arial"/>
          <w:sz w:val="22"/>
          <w:szCs w:val="22"/>
          <w:color w:val="auto"/>
        </w:rPr>
        <w:t>The Junior Subordinated Indenture does not contain provisions that afford holders of the Notes protection in the event of a highly leveraged transaction involving us.</w:t>
      </w:r>
    </w:p>
    <w:p>
      <w:pPr>
        <w:spacing w:after="0" w:line="6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9"/>
          <w:szCs w:val="19"/>
          <w:color w:val="auto"/>
        </w:rPr>
        <w:t>Unless earlier redeemed, the entire principal amount of the Notes will mature and become due and payable, together with any accrued and unpaid interest thereon, on March 30, 2059. The Notes are not subject to any sinking fund provision. The Notes are available for purchase in denominations of $25.00 and integral multiples of $25.00 in excess thereof.</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Notes are listed on the New York Stock Exchange under the symbol “MGR”.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118" w:lineRule="exact"/>
        <w:rPr>
          <w:sz w:val="20"/>
          <w:szCs w:val="20"/>
          <w:color w:val="auto"/>
        </w:rPr>
      </w:pPr>
    </w:p>
    <w:p>
      <w:pPr>
        <w:ind w:firstLine="432"/>
        <w:spacing w:after="0" w:line="288" w:lineRule="auto"/>
        <w:rPr>
          <w:sz w:val="20"/>
          <w:szCs w:val="20"/>
          <w:color w:val="auto"/>
        </w:rPr>
      </w:pPr>
      <w:r>
        <w:rPr>
          <w:rFonts w:ascii="Arial" w:cs="Arial" w:eastAsia="Arial" w:hAnsi="Arial"/>
          <w:sz w:val="19"/>
          <w:szCs w:val="19"/>
          <w:color w:val="auto"/>
        </w:rPr>
        <w:t>Each Note bears interest at the fixed rate of 5.875% per annum (the “Securities Rate”) from the date of original issuance. Subject to our right to defer interest payments as described below, interest on the Notes will be payable quarterly in arrears on March 30, June 30, September 30 and December 30 of each year (each, an “Interest Payment Date”) to the person in whose name such Note is registered at the close of business (i) on the Business Day immediately preceding such Interest Payment Date if the Notes are in book-entry only form or (ii) on the 15th calendar day preceding such Interest Payment Date if the Notes are not in book-entry only form (whether or not a Business Day). The initial Interest Payment Date was June 30, 2019. The amount of interest payable will be computed on the basis of a 360-day year of twelve 30-day months. In the event that any date on which interest is payable on the Notes is not a Business Day, then payment of the interest payable on such date will be made on the next succeeding day which is a Business Day (and without any interest or other payment in respect of any such delay), with the same force and effect as if made on such date. “Business Day” means each Monday, Tuesday, Wednesday,</w:t>
      </w:r>
    </w:p>
    <w:p>
      <w:pPr>
        <w:sectPr>
          <w:pgSz w:w="11900" w:h="16838" w:orient="portrait"/>
          <w:cols w:equalWidth="0" w:num="1">
            <w:col w:w="11420"/>
          </w:cols>
          <w:pgMar w:left="240" w:top="558" w:right="239" w:bottom="1440" w:gutter="0" w:footer="0" w:header="0"/>
        </w:sectPr>
      </w:pPr>
    </w:p>
    <w:bookmarkStart w:id="89" w:name="page90"/>
    <w:bookmarkEnd w:id="89"/>
    <w:p>
      <w:pPr>
        <w:ind w:right="120"/>
        <w:spacing w:after="0" w:line="263" w:lineRule="auto"/>
        <w:rPr>
          <w:sz w:val="20"/>
          <w:szCs w:val="20"/>
          <w:color w:val="auto"/>
        </w:rPr>
      </w:pPr>
      <w:r>
        <w:rPr>
          <w:rFonts w:ascii="Arial" w:cs="Arial" w:eastAsia="Arial" w:hAnsi="Arial"/>
          <w:sz w:val="22"/>
          <w:szCs w:val="22"/>
          <w:color w:val="auto"/>
        </w:rPr>
        <w:t>Thursday and Friday which is not a day on which banking institutions in The City of New York are authorized or obligated by law or executive order to close or be closed.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Defer Interest Payments</w:t>
      </w:r>
    </w:p>
    <w:p>
      <w:pPr>
        <w:spacing w:after="0" w:line="118" w:lineRule="exact"/>
        <w:rPr>
          <w:sz w:val="20"/>
          <w:szCs w:val="20"/>
          <w:color w:val="auto"/>
        </w:rPr>
      </w:pPr>
    </w:p>
    <w:p>
      <w:pPr>
        <w:ind w:right="20" w:firstLine="432"/>
        <w:spacing w:after="0" w:line="290" w:lineRule="auto"/>
        <w:rPr>
          <w:sz w:val="20"/>
          <w:szCs w:val="20"/>
          <w:color w:val="auto"/>
        </w:rPr>
      </w:pPr>
      <w:r>
        <w:rPr>
          <w:rFonts w:ascii="Arial" w:cs="Arial" w:eastAsia="Arial" w:hAnsi="Arial"/>
          <w:sz w:val="19"/>
          <w:szCs w:val="19"/>
          <w:color w:val="auto"/>
        </w:rPr>
        <w:t>At our option, we may, on one or more occasions, defer payment of all or part of the current and accrued interest otherwise due on the Notes by extending the interest payment period for up to 20 consecutive quarterly periods (each period, commencing on the date that the first such interest payment would otherwise have been made, an “Optional Deferral Period”). A deferral of interest payments may not extend beyond the maturity date of the Notes or end on a day other than an Interest Payment Date. Any deferred interest on the Notes will accrue Additional Interest at the Securities Rate from the applicable Interest Payment Date to the date of payment, compounded quarterly (such deferred interest and additional interest accrued thereon, “Additional Interest”), to the extent permitted under applicable law. No interest will be due and payable on the Notes until the end of an Optional Deferral Period, except upon a redemption of the Notes during such Optional Deferral Period.</w:t>
      </w:r>
    </w:p>
    <w:p>
      <w:pPr>
        <w:spacing w:after="0" w:line="49" w:lineRule="exact"/>
        <w:rPr>
          <w:sz w:val="20"/>
          <w:szCs w:val="20"/>
          <w:color w:val="auto"/>
        </w:rPr>
      </w:pPr>
    </w:p>
    <w:p>
      <w:pPr>
        <w:ind w:right="160" w:firstLine="432"/>
        <w:spacing w:after="0" w:line="250" w:lineRule="auto"/>
        <w:rPr>
          <w:sz w:val="20"/>
          <w:szCs w:val="20"/>
          <w:color w:val="auto"/>
        </w:rPr>
      </w:pPr>
      <w:r>
        <w:rPr>
          <w:rFonts w:ascii="Arial" w:cs="Arial" w:eastAsia="Arial" w:hAnsi="Arial"/>
          <w:sz w:val="22"/>
          <w:szCs w:val="22"/>
          <w:color w:val="auto"/>
        </w:rPr>
        <w:t>At the end of an Optional Deferral Period or on any redemption date, we will be obligated to pay all accrued and unpaid interest, including any Additional Interest. Once we pay all accrued and unpaid interest payments on the Notes, including any Additional Interest, we can again defer interest payments on the Notes as described above, but not beyond the maturity date of the Notes.</w:t>
      </w:r>
    </w:p>
    <w:p>
      <w:pPr>
        <w:spacing w:after="0" w:line="80" w:lineRule="exact"/>
        <w:rPr>
          <w:sz w:val="20"/>
          <w:szCs w:val="20"/>
          <w:color w:val="auto"/>
        </w:rPr>
      </w:pPr>
    </w:p>
    <w:p>
      <w:pPr>
        <w:ind w:right="40" w:firstLine="432"/>
        <w:spacing w:after="0" w:line="261" w:lineRule="auto"/>
        <w:rPr>
          <w:sz w:val="20"/>
          <w:szCs w:val="20"/>
          <w:color w:val="auto"/>
        </w:rPr>
      </w:pPr>
      <w:r>
        <w:rPr>
          <w:rFonts w:ascii="Arial" w:cs="Arial" w:eastAsia="Arial" w:hAnsi="Arial"/>
          <w:sz w:val="21"/>
          <w:szCs w:val="21"/>
          <w:color w:val="auto"/>
        </w:rPr>
        <w:t>We are required to provide to the Trustee written notice of any optional deferral of interest at least 10 and not more than 60 Business Days prior to the earlier of (1) the next applicable Interest Payment Date or (2) the date, if any, upon which it is required to give notice of such Interest Payment Date or the record date therefor to the New York Stock Exchange or any applicable self-regulatory organization. In addition, we are required to deliver to the Trustee an officers’ certificate stating that no Default or Event of Default shall have occurred and be continuing. Subject to receipt of the officers’ certificate, the Trustee is required to promptly forward such notice to each holder of record of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Limitations During an Optional Deferral Period</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During an Optional Deferral Period, subject to the exceptions noted below, we shall not:</w:t>
      </w:r>
    </w:p>
    <w:p>
      <w:pPr>
        <w:spacing w:after="0" w:line="260" w:lineRule="exact"/>
        <w:rPr>
          <w:sz w:val="20"/>
          <w:szCs w:val="20"/>
          <w:color w:val="auto"/>
        </w:rPr>
      </w:pPr>
    </w:p>
    <w:p>
      <w:pPr>
        <w:ind w:left="1080" w:right="360" w:hanging="316"/>
        <w:spacing w:after="0" w:line="251"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declare or pay any dividend or make any distributions, or redeem, purchase, acquire or make a liquidation payment with respect to, any of our capital stock, or</w:t>
      </w:r>
    </w:p>
    <w:p>
      <w:pPr>
        <w:spacing w:after="0" w:line="2" w:lineRule="exact"/>
        <w:rPr>
          <w:rFonts w:ascii="Arial" w:cs="Arial" w:eastAsia="Arial" w:hAnsi="Arial"/>
          <w:sz w:val="22"/>
          <w:szCs w:val="22"/>
          <w:color w:val="auto"/>
        </w:rPr>
      </w:pPr>
    </w:p>
    <w:p>
      <w:pPr>
        <w:ind w:left="1080" w:hanging="316"/>
        <w:spacing w:after="0" w:line="245"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make any payment of interest on, principal of or premium, if any, on or repay, repurchase or redeem any debt securities (including guarantees) issued by us which rank equally (“pari passu securities”) or junior (“junior securities”), in each case, in right of payment to the Notes.</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None of the foregoing, however, shall restrict:</w:t>
      </w:r>
    </w:p>
    <w:p>
      <w:pPr>
        <w:spacing w:after="0" w:line="260" w:lineRule="exact"/>
        <w:rPr>
          <w:sz w:val="20"/>
          <w:szCs w:val="20"/>
          <w:color w:val="auto"/>
        </w:rPr>
      </w:pPr>
    </w:p>
    <w:p>
      <w:pPr>
        <w:ind w:left="1080" w:right="380" w:hanging="316"/>
        <w:spacing w:after="0" w:line="291" w:lineRule="auto"/>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of the actions described in the preceding sentence resulting from any reclassification of our capital stock or the exchange or conversion of one class or series of our capital stock for another class or series of our capital stock;</w:t>
      </w:r>
    </w:p>
    <w:p>
      <w:pPr>
        <w:spacing w:after="0" w:line="1" w:lineRule="exact"/>
        <w:rPr>
          <w:rFonts w:ascii="Arial" w:cs="Arial" w:eastAsia="Arial" w:hAnsi="Arial"/>
          <w:sz w:val="19"/>
          <w:szCs w:val="19"/>
          <w:color w:val="auto"/>
        </w:rPr>
      </w:pPr>
    </w:p>
    <w:p>
      <w:pPr>
        <w:ind w:left="1080" w:right="740" w:hanging="316"/>
        <w:spacing w:after="0" w:line="255" w:lineRule="auto"/>
        <w:tabs>
          <w:tab w:leader="none" w:pos="10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purchase of fractional interests in shares of our capital stock pursuant to an acquisition or the conversion or exchange provisions of such capital stock or the security being converted or exchanged;</w:t>
      </w:r>
    </w:p>
    <w:p>
      <w:pPr>
        <w:ind w:left="1080" w:right="440" w:hanging="316"/>
        <w:spacing w:after="0" w:line="246" w:lineRule="auto"/>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dividends, payments or distributions payable in shares of capital stock or warrants, options or rights to acquire our capital stock;</w:t>
      </w:r>
    </w:p>
    <w:p>
      <w:pPr>
        <w:sectPr>
          <w:pgSz w:w="11900" w:h="16838" w:orient="portrait"/>
          <w:cols w:equalWidth="0" w:num="1">
            <w:col w:w="11400"/>
          </w:cols>
          <w:pgMar w:left="240" w:top="672" w:right="259" w:bottom="1440" w:gutter="0" w:footer="0" w:header="0"/>
        </w:sectPr>
      </w:pPr>
    </w:p>
    <w:bookmarkStart w:id="90" w:name="page91"/>
    <w:bookmarkEnd w:id="90"/>
    <w:p>
      <w:pPr>
        <w:ind w:left="1080" w:right="280" w:hanging="316"/>
        <w:spacing w:after="0" w:line="249"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redemptions, purchases or other acquisitions of shares of capital stock in connection with any employment contract, incentive plan, benefit plan or other similar arrangement of ours or any of our subsidiaries or in connection with a dividend reinvestment or stock purchase plan;</w:t>
      </w:r>
    </w:p>
    <w:p>
      <w:pPr>
        <w:ind w:left="1080" w:right="280" w:hanging="316"/>
        <w:spacing w:after="0" w:line="243"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declaration of a dividend in connection with implementation of any stockholders’ rights plan, or the issuance of rights, stock or other property under any such plan, or the redemption, repurchase or other acquisition of any such rights pursuant thereto;</w:t>
      </w:r>
    </w:p>
    <w:p>
      <w:pPr>
        <w:spacing w:after="0" w:line="1" w:lineRule="exact"/>
        <w:rPr>
          <w:rFonts w:ascii="Arial" w:cs="Arial" w:eastAsia="Arial" w:hAnsi="Arial"/>
          <w:sz w:val="22"/>
          <w:szCs w:val="22"/>
          <w:color w:val="auto"/>
        </w:rPr>
      </w:pPr>
    </w:p>
    <w:p>
      <w:pPr>
        <w:ind w:left="1080" w:right="320" w:hanging="316"/>
        <w:spacing w:after="0" w:line="255" w:lineRule="auto"/>
        <w:tabs>
          <w:tab w:leader="none" w:pos="10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ind w:left="1080" w:right="140" w:hanging="316"/>
        <w:spacing w:after="0" w:line="255" w:lineRule="auto"/>
        <w:tabs>
          <w:tab w:leader="none" w:pos="10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ind w:left="1080" w:right="20" w:hanging="316"/>
        <w:spacing w:after="0" w:line="257" w:lineRule="auto"/>
        <w:tabs>
          <w:tab w:leader="none" w:pos="10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 threatened challenge asserted in writing in connection with our audit or an audit of any of our subsidiaries, or a publicly-known threatened challenge asserted in writing against any other taxpayer that has raised capital through the issuance of securities that are substantially similar to the Notes, which amendment, clarification or change is effective or the administrative action is taken or judicial decision, interpretation or pronouncement is issued or threatened challenge is asserted or becomes publicly-known after the date of the original issuance of the Notes, there is more than an insubstantial risk that interest payable by us on the Notes is not deductible, or within 90 days would not be deductible, in whole or in part, by us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Redeem Upon a Rating Agency Event</w:t>
      </w:r>
    </w:p>
    <w:p>
      <w:pPr>
        <w:spacing w:after="0" w:line="266" w:lineRule="exact"/>
        <w:rPr>
          <w:sz w:val="20"/>
          <w:szCs w:val="20"/>
          <w:color w:val="auto"/>
        </w:rPr>
      </w:pPr>
    </w:p>
    <w:p>
      <w:pPr>
        <w:ind w:right="100" w:firstLine="432"/>
        <w:spacing w:after="0" w:line="271" w:lineRule="auto"/>
        <w:rPr>
          <w:sz w:val="20"/>
          <w:szCs w:val="20"/>
          <w:color w:val="auto"/>
        </w:rPr>
      </w:pPr>
      <w:r>
        <w:rPr>
          <w:rFonts w:ascii="Arial" w:cs="Arial" w:eastAsia="Arial" w:hAnsi="Arial"/>
          <w:sz w:val="21"/>
          <w:szCs w:val="21"/>
          <w:color w:val="auto"/>
        </w:rPr>
        <w:t>Before March 30, 2024, we may, upon not less than 10 nor more than 60 days’ notice, within the 90 days after the occurrence of a Rating Agency Event (as defined below), redeem, in whole but not in part, the Notes at 102% of their principal amount plus any accrued and unpaid interest thereon (including any Additional Interest) to the redemption date.</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w:t>
      </w:r>
    </w:p>
    <w:p>
      <w:pPr>
        <w:spacing w:after="0" w:line="56" w:lineRule="exact"/>
        <w:rPr>
          <w:sz w:val="20"/>
          <w:szCs w:val="20"/>
          <w:color w:val="auto"/>
        </w:rPr>
      </w:pPr>
    </w:p>
    <w:p>
      <w:pPr>
        <w:jc w:val="both"/>
        <w:ind w:right="40" w:firstLine="8"/>
        <w:spacing w:after="0" w:line="281" w:lineRule="auto"/>
        <w:tabs>
          <w:tab w:leader="none" w:pos="414" w:val="left"/>
        </w:tabs>
        <w:numPr>
          <w:ilvl w:val="0"/>
          <w:numId w:val="56"/>
        </w:numPr>
        <w:rPr>
          <w:rFonts w:ascii="Arial" w:cs="Arial" w:eastAsia="Arial" w:hAnsi="Arial"/>
          <w:sz w:val="19"/>
          <w:szCs w:val="19"/>
          <w:color w:val="auto"/>
        </w:rPr>
      </w:pPr>
      <w:r>
        <w:rPr>
          <w:rFonts w:ascii="Arial" w:cs="Arial" w:eastAsia="Arial" w:hAnsi="Arial"/>
          <w:sz w:val="19"/>
          <w:szCs w:val="19"/>
          <w:color w:val="auto"/>
        </w:rPr>
        <w:t>under the Exchange Act, that then publishes a rating for us (a “rating agency”) amends, clarifies or changes the criteria it uses to assign equity credit to securities such as the Notes, which amendment, clarification or change results in (a) the shortening of the length of time the Notes are assigned a particular level of equity credit by that rating agency as compared to the length of time they would have been assigned that level of equity credit by that rating agency or its predecessor on the initial issuance of the Notes; or</w:t>
      </w:r>
    </w:p>
    <w:p>
      <w:pPr>
        <w:spacing w:after="0" w:line="3" w:lineRule="exact"/>
        <w:rPr>
          <w:rFonts w:ascii="Arial" w:cs="Arial" w:eastAsia="Arial" w:hAnsi="Arial"/>
          <w:sz w:val="19"/>
          <w:szCs w:val="19"/>
          <w:color w:val="auto"/>
        </w:rPr>
      </w:pPr>
    </w:p>
    <w:p>
      <w:pPr>
        <w:ind w:right="160"/>
        <w:spacing w:after="0" w:line="246" w:lineRule="auto"/>
        <w:rPr>
          <w:rFonts w:ascii="Arial" w:cs="Arial" w:eastAsia="Arial" w:hAnsi="Arial"/>
          <w:sz w:val="19"/>
          <w:szCs w:val="19"/>
          <w:color w:val="auto"/>
        </w:rPr>
      </w:pPr>
      <w:r>
        <w:rPr>
          <w:rFonts w:ascii="Arial" w:cs="Arial" w:eastAsia="Arial" w:hAnsi="Arial"/>
          <w:sz w:val="22"/>
          <w:szCs w:val="22"/>
          <w:color w:val="auto"/>
        </w:rPr>
        <w:t>(b) the lowering of the equity credit (including up to a lesser amount) assigned to the Notes by that rating agency compared to the equity credit assigned by that rating agency or its predecessor on the initial issuance of the Notes.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226" w:lineRule="exact"/>
        <w:rPr>
          <w:sz w:val="20"/>
          <w:szCs w:val="20"/>
          <w:color w:val="auto"/>
        </w:rPr>
      </w:pPr>
    </w:p>
    <w:p>
      <w:pPr>
        <w:ind w:right="660" w:firstLine="405"/>
        <w:spacing w:after="0" w:line="312" w:lineRule="auto"/>
        <w:rPr>
          <w:sz w:val="20"/>
          <w:szCs w:val="20"/>
          <w:color w:val="auto"/>
        </w:rPr>
      </w:pPr>
      <w:r>
        <w:rPr>
          <w:rFonts w:ascii="Arial" w:cs="Arial" w:eastAsia="Arial" w:hAnsi="Arial"/>
          <w:sz w:val="19"/>
          <w:szCs w:val="19"/>
          <w:color w:val="auto"/>
        </w:rPr>
        <w:t>Our payment obligations under the Notes are unsecured and rank junior and subordinated in right of payment and upon liquidation to all of our senior indebtedness (as defined below), and rank equally with all of our junior unsubordinated indebtedness, in each case whether presently existing or from time to time hereafter incurred, created, assumed or existing.</w:t>
      </w:r>
    </w:p>
    <w:p>
      <w:pPr>
        <w:sectPr>
          <w:pgSz w:w="11900" w:h="16838" w:orient="portrait"/>
          <w:cols w:equalWidth="0" w:num="1">
            <w:col w:w="11380"/>
          </w:cols>
          <w:pgMar w:left="240" w:top="564" w:right="279" w:bottom="1440" w:gutter="0" w:footer="0" w:header="0"/>
        </w:sectPr>
      </w:pPr>
    </w:p>
    <w:bookmarkStart w:id="91" w:name="page92"/>
    <w:bookmarkEnd w:id="91"/>
    <w:p>
      <w:pPr>
        <w:ind w:right="20" w:firstLine="405"/>
        <w:spacing w:after="0" w:line="258" w:lineRule="auto"/>
        <w:rPr>
          <w:sz w:val="20"/>
          <w:szCs w:val="20"/>
          <w:color w:val="auto"/>
        </w:rPr>
      </w:pPr>
      <w:r>
        <w:rPr>
          <w:rFonts w:ascii="Arial" w:cs="Arial" w:eastAsia="Arial" w:hAnsi="Arial"/>
          <w:sz w:val="21"/>
          <w:szCs w:val="21"/>
          <w:color w:val="auto"/>
        </w:rPr>
        <w:t>No payment of principal of (including redemption payments, if any), premium, if any, on or interest on (including Additional Interest) the Notes may be made if (a) any senior indebtedness is not paid when due and any applicable grace period with respect to such default has ended with such default not being cured or waived or otherwise ceasing to exist, or (b) the maturity of any senior indebtedness has been accelerated because of a default, or (c) notice has been given of the exercise of an option to require repayment, mandatory payment or prepayment or otherwise of the senior indebtedness. Upon any payment or distribution of our assets to creditors upon any liquidation, dissolution, winding-up, reorganization, assignment for the benefit of creditors, marshalling of assets or liabilities, or any bankruptcy, insolvency or similar proceedings of AMG, the holders of senior indebtedness shall be entitled to receive payment in full of all amounts due or to become due on or in respect of all senior indebtedness before the holders of the Notes are entitled to receive or retain any payment or distribution. Subject to the prior payment of all senior indebtedness, the rights of the holders of the Notes will be subrogated to the rights of the holders of senior indebtedness to receive payments and distributions applicable to such senior indebtedness until all amounts owing on the Notes are paid in full.</w:t>
      </w:r>
    </w:p>
    <w:p>
      <w:pPr>
        <w:spacing w:after="0" w:line="72" w:lineRule="exact"/>
        <w:rPr>
          <w:sz w:val="20"/>
          <w:szCs w:val="20"/>
          <w:color w:val="auto"/>
        </w:rPr>
      </w:pPr>
    </w:p>
    <w:p>
      <w:pPr>
        <w:ind w:firstLine="405"/>
        <w:spacing w:after="0" w:line="291" w:lineRule="auto"/>
        <w:rPr>
          <w:sz w:val="20"/>
          <w:szCs w:val="20"/>
          <w:color w:val="auto"/>
        </w:rPr>
      </w:pPr>
      <w:r>
        <w:rPr>
          <w:rFonts w:ascii="Arial" w:cs="Arial" w:eastAsia="Arial" w:hAnsi="Arial"/>
          <w:sz w:val="19"/>
          <w:szCs w:val="19"/>
          <w:color w:val="auto"/>
        </w:rPr>
        <w:t>The term “senior indebtedness” means, with respect to us, (i) any payment due in respect of our indebtedness, whether outstanding at the date of execution of the Junior Subordinated Indenture or thereafter incurred, created, or assumed after such date,</w:t>
      </w:r>
    </w:p>
    <w:p>
      <w:pPr>
        <w:spacing w:after="0" w:line="1" w:lineRule="exact"/>
        <w:rPr>
          <w:sz w:val="20"/>
          <w:szCs w:val="20"/>
          <w:color w:val="auto"/>
        </w:rPr>
      </w:pPr>
    </w:p>
    <w:p>
      <w:pPr>
        <w:ind w:right="60" w:firstLine="8"/>
        <w:spacing w:after="0" w:line="285" w:lineRule="auto"/>
        <w:tabs>
          <w:tab w:leader="none" w:pos="2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respect of money borrowed or (b) evidenced by securities, debentures, bonds, notes or other similar instruments issued by us that, by their terms, are senior or senior subordinated debt securities including, without limitation, all such obligations under our indentures with various trustees; (ii) all obligations in respect of any financial derivative, hedging or futures contract or similar instrument; (iii) all capitalized lease obligations; (iv) all obligations issued or assumed as the deferred purchase price of property, all conditional sale obligations and all of our obligations under any title retention agreement (but excluding trade accounts payable arising in the ordinary course of business and long-term purchase obligations); (v) all obligations for the reimbursement of any letter of credit, banker’s acceptance, security purchase facility or similar credit transaction; (vi) all obligations of the type referred to in clauses (i) through (v) above of other persons the payment of which we are responsible or liable as obligor, guarantor or otherwise; and (vii) all obligations of the type referred to in clauses (i) through (vi) above of other persons secured by any lien on any of our properties or assets (whether or not such obligation is assumed by us), except for (1) any such indebtedness that is by its terms subordinated to or that ranks equally with the Notes, (2) obligations to trade creditors and (3) any unsecured indebtedness between or among us or our subsidiaries. Such senior indebtedness shall continue to be senior indebtedness and be entitled to the benefits of the subordination provisions contained in the Junior Subordinated Indenture irrespective of any amendment, modification or waiver of any term of such senior indebtedness.</w:t>
      </w:r>
    </w:p>
    <w:p>
      <w:pPr>
        <w:spacing w:after="0" w:line="50" w:lineRule="exact"/>
        <w:rPr>
          <w:sz w:val="20"/>
          <w:szCs w:val="20"/>
          <w:color w:val="auto"/>
        </w:rPr>
      </w:pPr>
    </w:p>
    <w:p>
      <w:pPr>
        <w:jc w:val="both"/>
        <w:ind w:right="240" w:firstLine="405"/>
        <w:spacing w:after="0" w:line="250" w:lineRule="auto"/>
        <w:rPr>
          <w:sz w:val="20"/>
          <w:szCs w:val="20"/>
          <w:color w:val="auto"/>
        </w:rPr>
      </w:pPr>
      <w:r>
        <w:rPr>
          <w:rFonts w:ascii="Arial" w:cs="Arial" w:eastAsia="Arial" w:hAnsi="Arial"/>
          <w:sz w:val="22"/>
          <w:szCs w:val="22"/>
          <w:color w:val="auto"/>
        </w:rPr>
        <w:t>The Junior Subordinated Indenture does not limit the aggregate amount of senior indebtedness that we may issue. Our right, and, hence, the right of any of our creditors (including holders of the Notes) to participate in any distribution of the assets of any subsidiary or Affiliate, whether upon liquidation, reorganization or otherwise, is subject to prior claims of creditors and preferred and preferences stockholders of each subsidiary.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right="1140" w:firstLine="405"/>
        <w:spacing w:after="0" w:line="263" w:lineRule="auto"/>
        <w:rPr>
          <w:sz w:val="20"/>
          <w:szCs w:val="20"/>
          <w:color w:val="auto"/>
        </w:rPr>
      </w:pPr>
      <w:r>
        <w:rPr>
          <w:rFonts w:ascii="Arial" w:cs="Arial" w:eastAsia="Arial" w:hAnsi="Arial"/>
          <w:sz w:val="22"/>
          <w:szCs w:val="22"/>
          <w:color w:val="auto"/>
        </w:rPr>
        <w:t>An “Event of Default” with respect to the Notes shall occur only upon certain events of bankruptcy, insolvency or reorganization involving us.</w:t>
      </w:r>
    </w:p>
    <w:p>
      <w:pPr>
        <w:spacing w:after="0" w:line="67" w:lineRule="exact"/>
        <w:rPr>
          <w:sz w:val="20"/>
          <w:szCs w:val="20"/>
          <w:color w:val="auto"/>
        </w:rPr>
      </w:pPr>
    </w:p>
    <w:p>
      <w:pPr>
        <w:ind w:right="700" w:firstLine="405"/>
        <w:spacing w:after="0" w:line="343" w:lineRule="auto"/>
        <w:rPr>
          <w:sz w:val="20"/>
          <w:szCs w:val="20"/>
          <w:color w:val="auto"/>
        </w:rPr>
      </w:pPr>
      <w:r>
        <w:rPr>
          <w:rFonts w:ascii="Arial" w:cs="Arial" w:eastAsia="Arial" w:hAnsi="Arial"/>
          <w:sz w:val="19"/>
          <w:szCs w:val="19"/>
          <w:color w:val="auto"/>
        </w:rPr>
        <w:t>If an Event of Default occurs, the principal of and accrued interest (including Additional Interest) on the Notes shall be immediately due and payable without declaration or other act on the part of the Trustee of any holder of the Notes.</w:t>
      </w:r>
    </w:p>
    <w:p>
      <w:pPr>
        <w:sectPr>
          <w:pgSz w:w="11900" w:h="16838" w:orient="portrait"/>
          <w:cols w:equalWidth="0" w:num="1">
            <w:col w:w="11400"/>
          </w:cols>
          <w:pgMar w:left="240" w:top="780" w:right="259" w:bottom="1440" w:gutter="0" w:footer="0" w:header="0"/>
        </w:sectPr>
      </w:pPr>
    </w:p>
    <w:bookmarkStart w:id="92" w:name="page93"/>
    <w:bookmarkEnd w:id="92"/>
    <w:p>
      <w:pPr>
        <w:ind w:right="20" w:firstLine="405"/>
        <w:spacing w:after="0" w:line="285" w:lineRule="auto"/>
        <w:rPr>
          <w:sz w:val="20"/>
          <w:szCs w:val="20"/>
          <w:color w:val="auto"/>
        </w:rPr>
      </w:pPr>
      <w:r>
        <w:rPr>
          <w:rFonts w:ascii="Arial" w:cs="Arial" w:eastAsia="Arial" w:hAnsi="Arial"/>
          <w:sz w:val="19"/>
          <w:szCs w:val="19"/>
          <w:color w:val="auto"/>
        </w:rPr>
        <w:t>With respect to the Notes, and for purposes of the immediately succeeding paragraph, the term “Default” means the following events: (a) default in the payment of any interest upon any of the Notes when due and payable on an interest payment date other than at maturity, including Additional Interest in respect thereof, and continuance of such default for a period of 30 days; provided, however, that a valid extension of the interest payment period by us pursuant to the terms of the Junior Subordinated Indenture shall not constitute a default in the payment of interest for this purpose, (b) default in the payment of the principal of (or premium, if any), or interest (including Additional Interest) on, the Notes when due and payable at maturity or earlier redemption or</w:t>
      </w:r>
    </w:p>
    <w:p>
      <w:pPr>
        <w:spacing w:after="0" w:line="1" w:lineRule="exact"/>
        <w:rPr>
          <w:sz w:val="20"/>
          <w:szCs w:val="20"/>
          <w:color w:val="auto"/>
        </w:rPr>
      </w:pPr>
    </w:p>
    <w:p>
      <w:pPr>
        <w:jc w:val="both"/>
        <w:ind w:firstLine="8"/>
        <w:spacing w:after="0" w:line="260" w:lineRule="auto"/>
        <w:tabs>
          <w:tab w:leader="none" w:pos="294" w:val="left"/>
        </w:tabs>
        <w:numPr>
          <w:ilvl w:val="0"/>
          <w:numId w:val="58"/>
        </w:numPr>
        <w:rPr>
          <w:rFonts w:ascii="Arial" w:cs="Arial" w:eastAsia="Arial" w:hAnsi="Arial"/>
          <w:sz w:val="21"/>
          <w:szCs w:val="21"/>
          <w:color w:val="auto"/>
        </w:rPr>
      </w:pPr>
      <w:r>
        <w:rPr>
          <w:rFonts w:ascii="Arial" w:cs="Arial" w:eastAsia="Arial" w:hAnsi="Arial"/>
          <w:sz w:val="21"/>
          <w:szCs w:val="21"/>
          <w:color w:val="auto"/>
        </w:rPr>
        <w:t>default in the performance or breach of any covenant or warranty of AMG in the Junior Subordinated Indenture (other than a covenant or warranty a default in whose performance or whose breach is addressed in clause (a) or (b), and continuance of such default or breach for a period of 90 days after there has been given, by registered or certified mail, to us by the Trustee, or to us and the Trustee by the holders of at least 25% in principal amount of the outstanding Notes.</w:t>
      </w:r>
    </w:p>
    <w:p>
      <w:pPr>
        <w:spacing w:after="0" w:line="70" w:lineRule="exact"/>
        <w:rPr>
          <w:sz w:val="20"/>
          <w:szCs w:val="20"/>
          <w:color w:val="auto"/>
        </w:rPr>
      </w:pPr>
    </w:p>
    <w:p>
      <w:pPr>
        <w:ind w:right="20" w:firstLine="405"/>
        <w:spacing w:after="0" w:line="285" w:lineRule="auto"/>
        <w:rPr>
          <w:sz w:val="20"/>
          <w:szCs w:val="20"/>
          <w:color w:val="auto"/>
        </w:rPr>
      </w:pPr>
      <w:r>
        <w:rPr>
          <w:rFonts w:ascii="Arial" w:cs="Arial" w:eastAsia="Arial" w:hAnsi="Arial"/>
          <w:sz w:val="19"/>
          <w:szCs w:val="19"/>
          <w:color w:val="auto"/>
        </w:rPr>
        <w:t xml:space="preserve">Upon the occurrence and continuance of a Default, the Trustee and the holders of the Notes will have the same rights and remedies, and will be subject to the same limitations, restrictions, protections and exculpations, and we will be subject to the same obligations and restrictions, in each case, as would apply if such Default was an Event of Default or an event which after notice or lapse of time or both would become an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principal of and accrued interest (including Additional Interest) on the Notes may not be declared immediately due and payable by reason of the occurrence and continuation of a Default, and any notice of declaration or acceleration based on such Default will be null and void with respect to the</w:t>
      </w:r>
    </w:p>
    <w:p>
      <w:pPr>
        <w:spacing w:after="0" w:line="1"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 xml:space="preserve">Notes;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in case a Default has occurred and is continuing, the Trustee will not be subject to the requirement to exercise, with respect to the Notes, the same degree of care as a prudent individual would exercise in the conduct of his or her own affairs, unless an Event of Default has occurred and is continuing.</w:t>
      </w:r>
    </w:p>
    <w:p>
      <w:pPr>
        <w:spacing w:after="0" w:line="85" w:lineRule="exact"/>
        <w:rPr>
          <w:sz w:val="20"/>
          <w:szCs w:val="20"/>
          <w:color w:val="auto"/>
        </w:rPr>
      </w:pPr>
    </w:p>
    <w:p>
      <w:pPr>
        <w:ind w:right="180" w:firstLine="405"/>
        <w:spacing w:after="0" w:line="248" w:lineRule="auto"/>
        <w:rPr>
          <w:sz w:val="20"/>
          <w:szCs w:val="20"/>
          <w:color w:val="auto"/>
        </w:rPr>
      </w:pPr>
      <w:r>
        <w:rPr>
          <w:rFonts w:ascii="Arial" w:cs="Arial" w:eastAsia="Arial" w:hAnsi="Arial"/>
          <w:sz w:val="22"/>
          <w:szCs w:val="22"/>
          <w:color w:val="auto"/>
        </w:rPr>
        <w:t>The Junior Subordinated Indenture will provide that if there occurs a Default specified in clauses (a) or (b) of the second preceding paragraph, the Trustee or the holder of the Notes may or, if directed by the holders of a majority in principal amount of the Notes then outstanding, the Trustee shall, subject to the provisions of the Junior Subordinated Indenture, demand payment of the amount then due and payable and may institute judicial proceedings for the collection of such amount if we fail to make payment thereof upon demand.</w:t>
      </w:r>
    </w:p>
    <w:p>
      <w:pPr>
        <w:spacing w:after="0" w:line="84" w:lineRule="exact"/>
        <w:rPr>
          <w:sz w:val="20"/>
          <w:szCs w:val="20"/>
          <w:color w:val="auto"/>
        </w:rPr>
      </w:pPr>
    </w:p>
    <w:p>
      <w:pPr>
        <w:ind w:firstLine="405"/>
        <w:spacing w:after="0" w:line="302" w:lineRule="auto"/>
        <w:rPr>
          <w:sz w:val="20"/>
          <w:szCs w:val="20"/>
          <w:color w:val="auto"/>
        </w:rPr>
      </w:pPr>
      <w:r>
        <w:rPr>
          <w:rFonts w:ascii="Arial" w:cs="Arial" w:eastAsia="Arial" w:hAnsi="Arial"/>
          <w:sz w:val="19"/>
          <w:szCs w:val="19"/>
          <w:color w:val="auto"/>
        </w:rPr>
        <w:t>The holders of not less than a majority in aggregate outstanding principal amount of the Notes may, on behalf of the holders of all the Notes, waive any past Default with respect to such Notes, except (i) a default in the payment of principal or interest (including Additional Interest) or (ii) a default in respect of a covenant or provision which under Article 10 of the Junior Subordinated Indenture cannot be modified or amended without the consent of the holders of the outstanding Notes.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by Holders to Certain Tax Treatment</w:t>
      </w:r>
    </w:p>
    <w:p>
      <w:pPr>
        <w:spacing w:after="0" w:line="226" w:lineRule="exact"/>
        <w:rPr>
          <w:sz w:val="20"/>
          <w:szCs w:val="20"/>
          <w:color w:val="auto"/>
        </w:rPr>
      </w:pPr>
    </w:p>
    <w:p>
      <w:pPr>
        <w:ind w:right="40" w:firstLine="405"/>
        <w:spacing w:after="0" w:line="343" w:lineRule="auto"/>
        <w:rPr>
          <w:sz w:val="20"/>
          <w:szCs w:val="20"/>
          <w:color w:val="auto"/>
        </w:rPr>
      </w:pPr>
      <w:r>
        <w:rPr>
          <w:rFonts w:ascii="Arial" w:cs="Arial" w:eastAsia="Arial" w:hAnsi="Arial"/>
          <w:sz w:val="19"/>
          <w:szCs w:val="19"/>
          <w:color w:val="auto"/>
        </w:rPr>
        <w:t>Each holder of the Notes will, by accepting the Notes or a beneficial interest therein, be deemed to have agreed that the holder intends that the Notes constitute debt and will treat the Notes as debt for U.S. federal, state and local tax purposes.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Defeasance</w:t>
      </w:r>
    </w:p>
    <w:p>
      <w:pPr>
        <w:spacing w:after="0" w:line="118" w:lineRule="exact"/>
        <w:rPr>
          <w:sz w:val="20"/>
          <w:szCs w:val="20"/>
          <w:color w:val="auto"/>
        </w:rPr>
      </w:pPr>
    </w:p>
    <w:p>
      <w:pPr>
        <w:jc w:val="both"/>
        <w:ind w:right="280" w:firstLine="405"/>
        <w:spacing w:after="0" w:line="253" w:lineRule="auto"/>
        <w:rPr>
          <w:sz w:val="20"/>
          <w:szCs w:val="20"/>
          <w:color w:val="auto"/>
        </w:rPr>
      </w:pPr>
      <w:r>
        <w:rPr>
          <w:rFonts w:ascii="Arial" w:cs="Arial" w:eastAsia="Arial" w:hAnsi="Arial"/>
          <w:sz w:val="22"/>
          <w:szCs w:val="22"/>
          <w:i w:val="1"/>
          <w:iCs w:val="1"/>
          <w:color w:val="auto"/>
        </w:rPr>
        <w:t xml:space="preserve">Covenant Defeasance. </w:t>
      </w:r>
      <w:r>
        <w:rPr>
          <w:rFonts w:ascii="Arial" w:cs="Arial" w:eastAsia="Arial" w:hAnsi="Arial"/>
          <w:sz w:val="22"/>
          <w:szCs w:val="22"/>
          <w:color w:val="auto"/>
        </w:rPr>
        <w:t>Under current U.S. federal tax law, we are able to make the deposit described below and be released</w:t>
      </w:r>
      <w:r>
        <w:rPr>
          <w:rFonts w:ascii="Arial" w:cs="Arial" w:eastAsia="Arial" w:hAnsi="Arial"/>
          <w:sz w:val="22"/>
          <w:szCs w:val="22"/>
          <w:i w:val="1"/>
          <w:iCs w:val="1"/>
          <w:color w:val="auto"/>
        </w:rPr>
        <w:t xml:space="preserve"> </w:t>
      </w:r>
      <w:r>
        <w:rPr>
          <w:rFonts w:ascii="Arial" w:cs="Arial" w:eastAsia="Arial" w:hAnsi="Arial"/>
          <w:sz w:val="22"/>
          <w:szCs w:val="22"/>
          <w:color w:val="auto"/>
        </w:rPr>
        <w:t>from some of the restrictive covenants in the Junior Subordinated Indenture. This is called “covenant defeasance.” In that event, you would lose the protection of those restrictive covenants</w:t>
      </w:r>
    </w:p>
    <w:p>
      <w:pPr>
        <w:sectPr>
          <w:pgSz w:w="11900" w:h="16838" w:orient="portrait"/>
          <w:cols w:equalWidth="0" w:num="1">
            <w:col w:w="11360"/>
          </w:cols>
          <w:pgMar w:left="240" w:top="672" w:right="299" w:bottom="1440" w:gutter="0" w:footer="0" w:header="0"/>
        </w:sectPr>
      </w:pPr>
    </w:p>
    <w:bookmarkStart w:id="93" w:name="page94"/>
    <w:bookmarkEnd w:id="93"/>
    <w:p>
      <w:pPr>
        <w:ind w:right="60"/>
        <w:spacing w:after="0" w:line="263" w:lineRule="auto"/>
        <w:rPr>
          <w:sz w:val="20"/>
          <w:szCs w:val="20"/>
          <w:color w:val="auto"/>
        </w:rPr>
      </w:pPr>
      <w:r>
        <w:rPr>
          <w:rFonts w:ascii="Arial" w:cs="Arial" w:eastAsia="Arial" w:hAnsi="Arial"/>
          <w:sz w:val="22"/>
          <w:szCs w:val="22"/>
          <w:color w:val="auto"/>
        </w:rPr>
        <w:t>but would gain the protection of having money and government securities set aside in trust to repay your Notes. In order to achieve covenant defeasance, we must do the following:</w:t>
      </w:r>
    </w:p>
    <w:p>
      <w:pPr>
        <w:spacing w:after="0" w:line="215" w:lineRule="exact"/>
        <w:rPr>
          <w:sz w:val="20"/>
          <w:szCs w:val="20"/>
          <w:color w:val="auto"/>
        </w:rPr>
      </w:pPr>
    </w:p>
    <w:p>
      <w:pPr>
        <w:ind w:left="1080" w:right="80" w:hanging="316"/>
        <w:spacing w:after="0" w:line="249"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Deposit in trust for the benefit of all holders of the Notes a combination of money and government or government agency debt securities or bonds in U.S. dollars that will generate enough cash to make interest, principal and any other payments on the Notes in U.S. dollars on their various due dates.</w:t>
      </w:r>
    </w:p>
    <w:p>
      <w:pPr>
        <w:ind w:left="1080" w:right="140" w:hanging="316"/>
        <w:spacing w:after="0" w:line="245"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w:t>
      </w:r>
    </w:p>
    <w:p>
      <w:pPr>
        <w:spacing w:after="0" w:line="234" w:lineRule="exact"/>
        <w:rPr>
          <w:sz w:val="20"/>
          <w:szCs w:val="20"/>
          <w:color w:val="auto"/>
        </w:rPr>
      </w:pPr>
    </w:p>
    <w:p>
      <w:pPr>
        <w:ind w:right="160" w:firstLine="405"/>
        <w:spacing w:after="0" w:line="265" w:lineRule="auto"/>
        <w:rPr>
          <w:sz w:val="20"/>
          <w:szCs w:val="20"/>
          <w:color w:val="auto"/>
        </w:rPr>
      </w:pPr>
      <w:r>
        <w:rPr>
          <w:rFonts w:ascii="Arial" w:cs="Arial" w:eastAsia="Arial" w:hAnsi="Arial"/>
          <w:sz w:val="21"/>
          <w:szCs w:val="21"/>
          <w:color w:val="auto"/>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16" w:lineRule="exact"/>
        <w:rPr>
          <w:sz w:val="20"/>
          <w:szCs w:val="20"/>
          <w:color w:val="auto"/>
        </w:rPr>
      </w:pPr>
    </w:p>
    <w:p>
      <w:pPr>
        <w:ind w:right="200" w:firstLine="405"/>
        <w:spacing w:after="0" w:line="253" w:lineRule="auto"/>
        <w:rPr>
          <w:sz w:val="20"/>
          <w:szCs w:val="20"/>
          <w:color w:val="auto"/>
        </w:rPr>
      </w:pPr>
      <w:r>
        <w:rPr>
          <w:rFonts w:ascii="Arial" w:cs="Arial" w:eastAsia="Arial" w:hAnsi="Arial"/>
          <w:sz w:val="22"/>
          <w:szCs w:val="22"/>
          <w:i w:val="1"/>
          <w:iCs w:val="1"/>
          <w:color w:val="auto"/>
        </w:rPr>
        <w:t xml:space="preserve">Full Defeasance. </w:t>
      </w:r>
      <w:r>
        <w:rPr>
          <w:rFonts w:ascii="Arial" w:cs="Arial" w:eastAsia="Arial" w:hAnsi="Arial"/>
          <w:sz w:val="22"/>
          <w:szCs w:val="22"/>
          <w:color w:val="auto"/>
        </w:rPr>
        <w:t>If there is a change in U.S. federal tax law, as described below, we can legally release ourselves from all</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and other obligations on the Notes (called “full defeasance”) if we put in place the following other arrangements for you to be repaid:</w:t>
      </w:r>
    </w:p>
    <w:p>
      <w:pPr>
        <w:spacing w:after="0" w:line="226" w:lineRule="exact"/>
        <w:rPr>
          <w:sz w:val="20"/>
          <w:szCs w:val="20"/>
          <w:color w:val="auto"/>
        </w:rPr>
      </w:pPr>
    </w:p>
    <w:p>
      <w:pPr>
        <w:ind w:left="1080" w:right="220" w:hanging="316"/>
        <w:spacing w:after="0" w:line="260"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We must deposit in trust for the benefit of all holders of the Notes a combination of money and government or government agency debt securities or bonds in U.S. dollars that will generate enough cash to make interest, principal and any other payments on the Notes in U.S. dollars on their various due dates.</w:t>
      </w:r>
    </w:p>
    <w:p>
      <w:pPr>
        <w:spacing w:after="0" w:line="2" w:lineRule="exact"/>
        <w:rPr>
          <w:rFonts w:ascii="Arial" w:cs="Arial" w:eastAsia="Arial" w:hAnsi="Arial"/>
          <w:sz w:val="21"/>
          <w:szCs w:val="21"/>
          <w:color w:val="auto"/>
        </w:rPr>
      </w:pPr>
    </w:p>
    <w:p>
      <w:pPr>
        <w:ind w:left="1080" w:right="60" w:hanging="316"/>
        <w:spacing w:after="0" w:line="290"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We must deliver to the Trustee a legal opinion confirming that there has been a change in current U.S. federal tax law or an IRS ruling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the debt securities or bonds at the time the cash and the debt securities or bonds were deposited in trust in exchange for your Notes and you would recognize gain or loss on your Notes at the time of the deposit.</w:t>
      </w:r>
    </w:p>
    <w:p>
      <w:pPr>
        <w:spacing w:after="0" w:line="19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9"/>
          <w:szCs w:val="19"/>
          <w:color w:val="auto"/>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174" w:lineRule="exact"/>
        <w:rPr>
          <w:sz w:val="20"/>
          <w:szCs w:val="20"/>
          <w:color w:val="auto"/>
        </w:rPr>
      </w:pPr>
    </w:p>
    <w:p>
      <w:pPr>
        <w:ind w:right="20" w:firstLine="405"/>
        <w:spacing w:after="0" w:line="250" w:lineRule="auto"/>
        <w:rPr>
          <w:sz w:val="20"/>
          <w:szCs w:val="20"/>
          <w:color w:val="auto"/>
        </w:rPr>
      </w:pPr>
      <w:r>
        <w:rPr>
          <w:rFonts w:ascii="Arial" w:cs="Arial" w:eastAsia="Arial" w:hAnsi="Arial"/>
          <w:sz w:val="22"/>
          <w:szCs w:val="22"/>
          <w:color w:val="auto"/>
        </w:rPr>
        <w:t>Covenant defeasance and full defeasance are both subject to certain conditions, such as no Default or Event of Default occurring and continuing, and that such defeasance does not result in a breach or violation of, constitute a default under, any material agreement or instrument (other than the Junior Subordinated Indenture) to which we, or any of our subsidiaries, are a party or bound.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 of the Junior Subordinated Indenture</w:t>
      </w:r>
    </w:p>
    <w:p>
      <w:pPr>
        <w:spacing w:after="0" w:line="226" w:lineRule="exact"/>
        <w:rPr>
          <w:sz w:val="20"/>
          <w:szCs w:val="20"/>
          <w:color w:val="auto"/>
        </w:rPr>
      </w:pPr>
    </w:p>
    <w:p>
      <w:pPr>
        <w:ind w:right="780" w:firstLine="405"/>
        <w:spacing w:after="0" w:line="263" w:lineRule="auto"/>
        <w:rPr>
          <w:sz w:val="20"/>
          <w:szCs w:val="20"/>
          <w:color w:val="auto"/>
        </w:rPr>
      </w:pPr>
      <w:r>
        <w:rPr>
          <w:rFonts w:ascii="Arial" w:cs="Arial" w:eastAsia="Arial" w:hAnsi="Arial"/>
          <w:sz w:val="22"/>
          <w:szCs w:val="22"/>
          <w:color w:val="auto"/>
        </w:rPr>
        <w:t>We may satisfy and discharge our obligations under the Junior Subordinated Indenture by delivering to the Trustee for cancellation all outstanding Notes or by depositing with the Trustee or the Paying Agent</w:t>
      </w:r>
    </w:p>
    <w:p>
      <w:pPr>
        <w:sectPr>
          <w:pgSz w:w="11900" w:h="16838" w:orient="portrait"/>
          <w:cols w:equalWidth="0" w:num="1">
            <w:col w:w="11400"/>
          </w:cols>
          <w:pgMar w:left="240" w:top="672" w:right="259" w:bottom="1440" w:gutter="0" w:footer="0" w:header="0"/>
        </w:sectPr>
      </w:pPr>
    </w:p>
    <w:bookmarkStart w:id="94" w:name="page95"/>
    <w:bookmarkEnd w:id="94"/>
    <w:p>
      <w:pPr>
        <w:jc w:val="both"/>
        <w:ind w:right="400"/>
        <w:spacing w:after="0" w:line="253" w:lineRule="auto"/>
        <w:rPr>
          <w:sz w:val="20"/>
          <w:szCs w:val="20"/>
          <w:color w:val="auto"/>
        </w:rPr>
      </w:pPr>
      <w:r>
        <w:rPr>
          <w:rFonts w:ascii="Arial" w:cs="Arial" w:eastAsia="Arial" w:hAnsi="Arial"/>
          <w:sz w:val="22"/>
          <w:szCs w:val="22"/>
          <w:color w:val="auto"/>
        </w:rPr>
        <w:t>in respect of Notes that have either become due and payable, will become due and payable within one year or are scheduled for redemption or repayment within one year, cash sufficient to pay all of the outstanding Notes and paying all other sums payable under the Junior Subordinated Indenture.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and Transfer</w:t>
      </w:r>
    </w:p>
    <w:p>
      <w:pPr>
        <w:spacing w:after="0" w:line="226" w:lineRule="exact"/>
        <w:rPr>
          <w:sz w:val="20"/>
          <w:szCs w:val="20"/>
          <w:color w:val="auto"/>
        </w:rPr>
      </w:pPr>
    </w:p>
    <w:p>
      <w:pPr>
        <w:ind w:right="160" w:firstLine="405"/>
        <w:spacing w:after="0" w:line="312" w:lineRule="auto"/>
        <w:rPr>
          <w:sz w:val="20"/>
          <w:szCs w:val="20"/>
          <w:color w:val="auto"/>
        </w:rPr>
      </w:pPr>
      <w:r>
        <w:rPr>
          <w:rFonts w:ascii="Arial" w:cs="Arial" w:eastAsia="Arial" w:hAnsi="Arial"/>
          <w:sz w:val="19"/>
          <w:szCs w:val="19"/>
          <w:color w:val="auto"/>
        </w:rPr>
        <w:t>We are not required to (i) issue, register the transfer of or exchange the Notes during a period of 15 days immediately preceding the date notice is given identifying the Notes called for redemption or (ii) issue, register the transfer of or exchange any Notes so selected for redemption, in whole or in part, except the unredeemed portion of any Note being redeemed in part.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and Paying Agent</w:t>
      </w:r>
    </w:p>
    <w:p>
      <w:pPr>
        <w:spacing w:after="0" w:line="226" w:lineRule="exact"/>
        <w:rPr>
          <w:sz w:val="20"/>
          <w:szCs w:val="20"/>
          <w:color w:val="auto"/>
        </w:rPr>
      </w:pPr>
    </w:p>
    <w:p>
      <w:pPr>
        <w:ind w:firstLine="405"/>
        <w:spacing w:after="0" w:line="246" w:lineRule="auto"/>
        <w:rPr>
          <w:sz w:val="20"/>
          <w:szCs w:val="20"/>
          <w:color w:val="auto"/>
        </w:rPr>
      </w:pPr>
      <w:r>
        <w:rPr>
          <w:rFonts w:ascii="Arial" w:cs="Arial" w:eastAsia="Arial" w:hAnsi="Arial"/>
          <w:sz w:val="22"/>
          <w:szCs w:val="22"/>
          <w:color w:val="auto"/>
        </w:rPr>
        <w:t>Payment of principal will be made only against surrender to the Paying Agent of the Notes. Principal of and interest on the Notes will be payable, subject to any applicable laws and regulations, at the office of such Paying Agent or Paying Agents as we may designate from time to time, except that, at our option, payment of any interest may be made by wire transfer or other electronic transfer or by check mailed to the address of the person entitled to an interest payment as such address shall appear in the Security Register with respect to the Notes. Payment of interest on the Notes on any interest payment date will be made to the person in whose name the Notes (or predecessor security) are registered at the close of business on the record date for such interest payment.</w:t>
      </w:r>
    </w:p>
    <w:p>
      <w:pPr>
        <w:spacing w:after="0" w:line="89" w:lineRule="exact"/>
        <w:rPr>
          <w:sz w:val="20"/>
          <w:szCs w:val="20"/>
          <w:color w:val="auto"/>
        </w:rPr>
      </w:pPr>
    </w:p>
    <w:p>
      <w:pPr>
        <w:ind w:right="420" w:firstLine="405"/>
        <w:spacing w:after="0" w:line="341" w:lineRule="auto"/>
        <w:rPr>
          <w:sz w:val="20"/>
          <w:szCs w:val="20"/>
          <w:color w:val="auto"/>
        </w:rPr>
      </w:pPr>
      <w:r>
        <w:rPr>
          <w:rFonts w:ascii="Arial" w:cs="Arial" w:eastAsia="Arial" w:hAnsi="Arial"/>
          <w:sz w:val="19"/>
          <w:szCs w:val="19"/>
          <w:color w:val="auto"/>
        </w:rPr>
        <w:t>The Trustee will act as Paying Agent with respect to the Notes. We may at any time designate additional Paying Agents or rescind the designation of any Paying Agents or approve a change in the office through which any Paying Agent acts.</w:t>
      </w:r>
    </w:p>
    <w:p>
      <w:pPr>
        <w:jc w:val="both"/>
        <w:ind w:right="60" w:firstLine="405"/>
        <w:spacing w:after="0" w:line="271" w:lineRule="auto"/>
        <w:rPr>
          <w:sz w:val="20"/>
          <w:szCs w:val="20"/>
          <w:color w:val="auto"/>
        </w:rPr>
      </w:pPr>
      <w:r>
        <w:rPr>
          <w:rFonts w:ascii="Arial" w:cs="Arial" w:eastAsia="Arial" w:hAnsi="Arial"/>
          <w:sz w:val="21"/>
          <w:szCs w:val="21"/>
          <w:color w:val="auto"/>
        </w:rPr>
        <w:t>All moneys paid by us to a Paying Agent for the payment of the principal of or interest on the Notes which remain unclaimed at the end of two years after such principal or interest shall have become due and payable will be repaid to us, and the holder of the Notes will from that time forward look only to us for payment of such principal and interest.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w:t>
      </w:r>
    </w:p>
    <w:p>
      <w:pPr>
        <w:spacing w:after="0" w:line="226" w:lineRule="exact"/>
        <w:rPr>
          <w:sz w:val="20"/>
          <w:szCs w:val="20"/>
          <w:color w:val="auto"/>
        </w:rPr>
      </w:pPr>
    </w:p>
    <w:p>
      <w:pPr>
        <w:ind w:right="100" w:firstLine="405"/>
        <w:spacing w:after="0" w:line="246" w:lineRule="auto"/>
        <w:rPr>
          <w:sz w:val="20"/>
          <w:szCs w:val="20"/>
          <w:color w:val="auto"/>
        </w:rPr>
      </w:pPr>
      <w:r>
        <w:rPr>
          <w:rFonts w:ascii="Arial" w:cs="Arial" w:eastAsia="Arial" w:hAnsi="Arial"/>
          <w:sz w:val="22"/>
          <w:szCs w:val="22"/>
          <w:color w:val="auto"/>
        </w:rPr>
        <w:t>Subject to certain exceptions, the Junior Subordinated Indenture or the Notes may be amended with the consent of the holders of at least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at least a majority in principal amount of the Notes then outstanding (including, without limitation, consents obtained in connection with a purchase of, or tender offer or exchange offer for, Notes). However, without the consent of each holder of an outstanding Note affected, no amendment may, among other things:</w:t>
      </w:r>
    </w:p>
    <w:p>
      <w:pPr>
        <w:spacing w:after="0" w:line="238" w:lineRule="exact"/>
        <w:rPr>
          <w:sz w:val="20"/>
          <w:szCs w:val="20"/>
          <w:color w:val="auto"/>
        </w:rPr>
      </w:pPr>
    </w:p>
    <w:p>
      <w:pPr>
        <w:ind w:left="1080" w:right="420" w:hanging="316"/>
        <w:spacing w:after="0" w:line="251"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percentage in aggregate principal amount of Notes whose holders must consent to an amendment of the Junior Subordinated Indenture or to waive any past default; or</w:t>
      </w:r>
    </w:p>
    <w:p>
      <w:pPr>
        <w:spacing w:after="0" w:line="2" w:lineRule="exact"/>
        <w:rPr>
          <w:rFonts w:ascii="Arial" w:cs="Arial" w:eastAsia="Arial" w:hAnsi="Arial"/>
          <w:sz w:val="22"/>
          <w:szCs w:val="22"/>
          <w:color w:val="auto"/>
        </w:rPr>
      </w:pPr>
    </w:p>
    <w:p>
      <w:pPr>
        <w:ind w:left="1080" w:hanging="316"/>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rate of or change the stated time for payment of interest on any Note;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principal of or change the stated maturity of any Note; or</w:t>
      </w:r>
    </w:p>
    <w:p>
      <w:pPr>
        <w:spacing w:after="0" w:line="3" w:lineRule="exact"/>
        <w:rPr>
          <w:rFonts w:ascii="Arial" w:cs="Arial" w:eastAsia="Arial" w:hAnsi="Arial"/>
          <w:sz w:val="22"/>
          <w:szCs w:val="22"/>
          <w:color w:val="auto"/>
        </w:rPr>
      </w:pPr>
    </w:p>
    <w:p>
      <w:pPr>
        <w:ind w:left="1080" w:hanging="316"/>
        <w:spacing w:after="0" w:line="243"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reduce the redemption price of any note or adversely affect a right of repayment with respect to any Note that is at such holder’s option; or</w:t>
      </w:r>
    </w:p>
    <w:p>
      <w:pPr>
        <w:ind w:left="1080" w:hanging="316"/>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make any note payable in a currency, or at a place, other than that stated in the Note;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change the ranking of the Notes in a manner that is adverse to the holders of the Notes; or</w:t>
      </w:r>
    </w:p>
    <w:p>
      <w:pPr>
        <w:sectPr>
          <w:pgSz w:w="11900" w:h="16838" w:orient="portrait"/>
          <w:cols w:equalWidth="0" w:num="1">
            <w:col w:w="11400"/>
          </w:cols>
          <w:pgMar w:left="240" w:top="780" w:right="259" w:bottom="1440" w:gutter="0" w:footer="0" w:header="0"/>
        </w:sectPr>
      </w:pPr>
    </w:p>
    <w:bookmarkStart w:id="95" w:name="page96"/>
    <w:bookmarkEnd w:id="95"/>
    <w:p>
      <w:pPr>
        <w:ind w:left="1080" w:right="220" w:hanging="316"/>
        <w:spacing w:after="0" w:line="291" w:lineRule="auto"/>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or with respect to such holder’s Notes on or after their maturity date or, in the case of redemption, on or after their redemption date; or</w:t>
      </w:r>
    </w:p>
    <w:p>
      <w:pPr>
        <w:spacing w:after="0" w:line="1" w:lineRule="exact"/>
        <w:rPr>
          <w:rFonts w:ascii="Arial" w:cs="Arial" w:eastAsia="Arial" w:hAnsi="Arial"/>
          <w:sz w:val="19"/>
          <w:szCs w:val="19"/>
          <w:color w:val="auto"/>
        </w:rPr>
      </w:pPr>
    </w:p>
    <w:p>
      <w:pPr>
        <w:ind w:left="1080" w:right="160" w:hanging="316"/>
        <w:spacing w:after="0" w:line="243" w:lineRule="auto"/>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make any change in the amendment provisions which require each holder’s consent or in the waiver provisions of the Junior Subordinated Indenture; or</w:t>
      </w:r>
    </w:p>
    <w:p>
      <w:pPr>
        <w:ind w:left="1080" w:right="100" w:hanging="316"/>
        <w:spacing w:after="0" w:line="246" w:lineRule="auto"/>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modify the provisions of the Junior Subordinated Indenture with respect to the subordination of the Notes in a manner materially adverse to such holder.</w:t>
      </w:r>
    </w:p>
    <w:p>
      <w:pPr>
        <w:spacing w:after="0" w:line="233" w:lineRule="exact"/>
        <w:rPr>
          <w:sz w:val="20"/>
          <w:szCs w:val="20"/>
          <w:color w:val="auto"/>
        </w:rPr>
      </w:pPr>
    </w:p>
    <w:p>
      <w:pPr>
        <w:ind w:right="120" w:firstLine="405"/>
        <w:spacing w:after="0" w:line="263" w:lineRule="auto"/>
        <w:rPr>
          <w:sz w:val="20"/>
          <w:szCs w:val="20"/>
          <w:color w:val="auto"/>
        </w:rPr>
      </w:pPr>
      <w:r>
        <w:rPr>
          <w:rFonts w:ascii="Arial" w:cs="Arial" w:eastAsia="Arial" w:hAnsi="Arial"/>
          <w:sz w:val="22"/>
          <w:szCs w:val="22"/>
          <w:color w:val="auto"/>
        </w:rPr>
        <w:t>Notwithstanding the provisions described above, without the consent of any holder, we and the Trustee may amend the Junior Subordinated Indenture to:</w:t>
      </w:r>
    </w:p>
    <w:p>
      <w:pPr>
        <w:spacing w:after="0" w:line="215" w:lineRule="exact"/>
        <w:rPr>
          <w:sz w:val="20"/>
          <w:szCs w:val="20"/>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cure any ambiguity, omission, defect or inconsistency in the Junior Subordinated Indenture; or</w:t>
      </w:r>
    </w:p>
    <w:p>
      <w:pPr>
        <w:spacing w:after="0" w:line="21" w:lineRule="exact"/>
        <w:rPr>
          <w:rFonts w:ascii="Arial" w:cs="Arial" w:eastAsia="Arial" w:hAnsi="Arial"/>
          <w:sz w:val="22"/>
          <w:szCs w:val="22"/>
          <w:color w:val="auto"/>
        </w:rPr>
      </w:pPr>
    </w:p>
    <w:p>
      <w:pPr>
        <w:ind w:left="1080" w:right="680" w:hanging="316"/>
        <w:spacing w:after="0" w:line="243"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provide for the assumption by a successor person of our obligations under the Junior Subordinated Indenture as described below under the heading “-Consolidation, Merger, Sale or Conveyance”; or</w:t>
      </w: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guarantees with respect to the Notes;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secure the Notes;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to our covenants for the benefit of the holders or surrender any right or power conferred upon us;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to the Events of Default with respect to the Notes;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facilitate the issuance of new Notes; or</w:t>
      </w:r>
    </w:p>
    <w:p>
      <w:pPr>
        <w:spacing w:after="0" w:line="3" w:lineRule="exact"/>
        <w:rPr>
          <w:rFonts w:ascii="Arial" w:cs="Arial" w:eastAsia="Arial" w:hAnsi="Arial"/>
          <w:sz w:val="22"/>
          <w:szCs w:val="22"/>
          <w:color w:val="auto"/>
        </w:rPr>
      </w:pP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or</w:t>
      </w:r>
    </w:p>
    <w:p>
      <w:pPr>
        <w:spacing w:after="0" w:line="3" w:lineRule="exact"/>
        <w:rPr>
          <w:rFonts w:ascii="Arial" w:cs="Arial" w:eastAsia="Arial" w:hAnsi="Arial"/>
          <w:sz w:val="22"/>
          <w:szCs w:val="22"/>
          <w:color w:val="auto"/>
        </w:rPr>
      </w:pPr>
    </w:p>
    <w:p>
      <w:pPr>
        <w:ind w:left="1080" w:right="240" w:hanging="316"/>
        <w:spacing w:after="0" w:line="243"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change or eliminate any of the provisions of the Junior Subordinated Indenture with respect to the Notes that have not yet been issued under the Junior Subordinated Indenture; or</w:t>
      </w:r>
    </w:p>
    <w:p>
      <w:pPr>
        <w:ind w:left="1080" w:hanging="316"/>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provide for a successor trustee; or</w:t>
      </w:r>
    </w:p>
    <w:p>
      <w:pPr>
        <w:spacing w:after="0" w:line="3" w:lineRule="exact"/>
        <w:rPr>
          <w:rFonts w:ascii="Arial" w:cs="Arial" w:eastAsia="Arial" w:hAnsi="Arial"/>
          <w:sz w:val="22"/>
          <w:szCs w:val="22"/>
          <w:color w:val="auto"/>
        </w:rPr>
      </w:pPr>
    </w:p>
    <w:p>
      <w:pPr>
        <w:ind w:left="1080" w:right="200" w:hanging="316"/>
        <w:spacing w:after="0" w:line="243"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comply with any requirement of the Securities and Exchange Commission in connection with the qualification of the Junior Subordinated Indenture under the Trust Indenture Act; or</w:t>
      </w:r>
    </w:p>
    <w:p>
      <w:pPr>
        <w:ind w:left="1080" w:right="20" w:hanging="316"/>
        <w:spacing w:after="0" w:line="243"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make any change to Article 12 of the Junior Subordinated Indenture that would limit or terminate the benefits to any holder of senior indebtedness under such Article; or</w:t>
      </w:r>
    </w:p>
    <w:p>
      <w:pPr>
        <w:ind w:left="1080" w:right="380" w:hanging="316"/>
        <w:spacing w:after="0" w:line="246"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conform the terms of the Junior Subordinated Indenture or the Notes to the description thereof in this prospectus supplement.</w:t>
      </w:r>
    </w:p>
    <w:p>
      <w:pPr>
        <w:spacing w:after="0" w:line="233" w:lineRule="exact"/>
        <w:rPr>
          <w:sz w:val="20"/>
          <w:szCs w:val="20"/>
          <w:color w:val="auto"/>
        </w:rPr>
      </w:pPr>
    </w:p>
    <w:p>
      <w:pPr>
        <w:ind w:right="480" w:firstLine="405"/>
        <w:spacing w:after="0" w:line="343" w:lineRule="auto"/>
        <w:rPr>
          <w:sz w:val="20"/>
          <w:szCs w:val="20"/>
          <w:color w:val="auto"/>
        </w:rPr>
      </w:pPr>
      <w:r>
        <w:rPr>
          <w:rFonts w:ascii="Arial" w:cs="Arial" w:eastAsia="Arial" w:hAnsi="Arial"/>
          <w:sz w:val="19"/>
          <w:szCs w:val="19"/>
          <w:color w:val="auto"/>
        </w:rPr>
        <w:t>The consent of the holders is not necessary under the Junior Subordinated Indenture to approve the particular form of any proposed amendment. It is sufficient if such consent approves the substance of the proposed amendment.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Merger, Sale or Conveyance</w:t>
      </w:r>
    </w:p>
    <w:p>
      <w:pPr>
        <w:spacing w:after="0" w:line="226" w:lineRule="exact"/>
        <w:rPr>
          <w:sz w:val="20"/>
          <w:szCs w:val="20"/>
          <w:color w:val="auto"/>
        </w:rPr>
      </w:pPr>
    </w:p>
    <w:p>
      <w:pPr>
        <w:ind w:firstLine="405"/>
        <w:spacing w:after="0" w:line="259" w:lineRule="auto"/>
        <w:rPr>
          <w:sz w:val="20"/>
          <w:szCs w:val="20"/>
          <w:color w:val="auto"/>
        </w:rPr>
      </w:pPr>
      <w:r>
        <w:rPr>
          <w:rFonts w:ascii="Arial" w:cs="Arial" w:eastAsia="Arial" w:hAnsi="Arial"/>
          <w:sz w:val="21"/>
          <w:szCs w:val="21"/>
          <w:color w:val="auto"/>
        </w:rPr>
        <w:t>The Junior Subordinated Indenture provides that we shall not consolidate with or merge with or into, or convey, transfer or lease all or substantially all of our properties and assets to, another person (in a transaction in which we are not the surviving entity) unless (1) the resulting, surviving or transferee person (in a transaction in which we are not the surviving entity) is an entity organized and existing under the laws of the United States of America, any state thereof or the District of Columbia, and such person expressly assumes by supplemental indenture all of our obligations under the Notes and the Junior Subordinated Indenture; and (2) immediately after giving effect to such transaction, no Event of Default has occurred and is continuing under the Junior Subordinated Indenture. Upon any such consolidation, merger or transfer, the resulting, surviving or transferee person (in a transaction in which we are not the</w:t>
      </w:r>
    </w:p>
    <w:p>
      <w:pPr>
        <w:sectPr>
          <w:pgSz w:w="11900" w:h="16838" w:orient="portrait"/>
          <w:cols w:equalWidth="0" w:num="1">
            <w:col w:w="11400"/>
          </w:cols>
          <w:pgMar w:left="240" w:top="564" w:right="25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surviving entity) shall succeed to, and may exercise every right and power of, AMG under the Junior Subordinated Indenture.</w:t>
      </w:r>
    </w:p>
    <w:p>
      <w:pPr>
        <w:spacing w:after="0" w:line="146" w:lineRule="exact"/>
        <w:rPr>
          <w:sz w:val="20"/>
          <w:szCs w:val="20"/>
          <w:color w:val="auto"/>
        </w:rPr>
      </w:pPr>
    </w:p>
    <w:p>
      <w:pPr>
        <w:ind w:right="240" w:firstLine="405"/>
        <w:spacing w:after="0" w:line="263" w:lineRule="auto"/>
        <w:rPr>
          <w:sz w:val="20"/>
          <w:szCs w:val="20"/>
          <w:color w:val="auto"/>
        </w:rPr>
      </w:pPr>
      <w:r>
        <w:rPr>
          <w:rFonts w:ascii="Arial" w:cs="Arial" w:eastAsia="Arial" w:hAnsi="Arial"/>
          <w:sz w:val="22"/>
          <w:szCs w:val="22"/>
          <w:color w:val="auto"/>
        </w:rPr>
        <w:t>This covenant will not apply to any consolidation or merger, or any sale, assignment, transfer, conveyance, lease or other disposition of assets, between or among us and our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2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U.S. Bank National Association is the Trustee, Security Registrar and Paying Agent.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Law</w:t>
      </w:r>
    </w:p>
    <w:p>
      <w:pPr>
        <w:spacing w:after="0" w:line="226" w:lineRule="exact"/>
        <w:rPr>
          <w:sz w:val="20"/>
          <w:szCs w:val="20"/>
          <w:color w:val="auto"/>
        </w:rPr>
      </w:pPr>
    </w:p>
    <w:p>
      <w:pPr>
        <w:ind w:firstLine="405"/>
        <w:spacing w:after="0" w:line="263" w:lineRule="auto"/>
        <w:rPr>
          <w:sz w:val="20"/>
          <w:szCs w:val="20"/>
          <w:color w:val="auto"/>
        </w:rPr>
      </w:pPr>
      <w:r>
        <w:rPr>
          <w:rFonts w:ascii="Arial" w:cs="Arial" w:eastAsia="Arial" w:hAnsi="Arial"/>
          <w:sz w:val="22"/>
          <w:szCs w:val="22"/>
          <w:color w:val="auto"/>
        </w:rPr>
        <w:t>The Notes and the Junior Subordinated Indenture are governed by and construed in accordance with the laws of the State of New York.</w:t>
      </w:r>
    </w:p>
    <w:p>
      <w:pPr>
        <w:sectPr>
          <w:pgSz w:w="11900" w:h="16838" w:orient="portrait"/>
          <w:cols w:equalWidth="0" w:num="1">
            <w:col w:w="11100"/>
          </w:cols>
          <w:pgMar w:left="240" w:top="780" w:right="55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10.14</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THE</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AFFILIATED MANAGERS GROUP, INC.</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2013 INCENTIVE STOCK AWARD PLAN</w:t>
      </w:r>
    </w:p>
    <w:p>
      <w:pPr>
        <w:spacing w:after="0" w:line="3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This Amendment to the Affiliated Managers Group, Inc. 2013 Incentive Stock Award Plan (the “Plan”) is effective as of December 31 2019, pursuant to Section 10 of the Plan.</w:t>
      </w:r>
    </w:p>
    <w:p>
      <w:pPr>
        <w:spacing w:after="0" w:line="175" w:lineRule="exact"/>
        <w:rPr>
          <w:sz w:val="20"/>
          <w:szCs w:val="20"/>
          <w:color w:val="auto"/>
        </w:rPr>
      </w:pPr>
    </w:p>
    <w:p>
      <w:pPr>
        <w:ind w:right="20" w:firstLine="656"/>
        <w:spacing w:after="0" w:line="263" w:lineRule="auto"/>
        <w:tabs>
          <w:tab w:leader="none" w:pos="1053"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Administration of Employee Tax Withholdings</w:t>
      </w:r>
      <w:r>
        <w:rPr>
          <w:rFonts w:ascii="Arial" w:cs="Arial" w:eastAsia="Arial" w:hAnsi="Arial"/>
          <w:sz w:val="22"/>
          <w:szCs w:val="22"/>
          <w:color w:val="auto"/>
        </w:rPr>
        <w:t>. Subparagraph (d)(2)(</w:t>
      </w:r>
      <w:r>
        <w:rPr>
          <w:rFonts w:ascii="Arial" w:cs="Arial" w:eastAsia="Arial" w:hAnsi="Arial"/>
          <w:sz w:val="22"/>
          <w:szCs w:val="22"/>
          <w:i w:val="1"/>
          <w:iCs w:val="1"/>
          <w:color w:val="auto"/>
        </w:rPr>
        <w:t>Taxes-Payment in Stock</w:t>
      </w:r>
      <w:r>
        <w:rPr>
          <w:rFonts w:ascii="Arial" w:cs="Arial" w:eastAsia="Arial" w:hAnsi="Arial"/>
          <w:sz w:val="22"/>
          <w:szCs w:val="22"/>
          <w:color w:val="auto"/>
        </w:rPr>
        <w:t>) of Section 6 of the Plan is hereby replaced in its entirety with the following:</w:t>
      </w:r>
    </w:p>
    <w:p>
      <w:pPr>
        <w:spacing w:after="0" w:line="175"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i w:val="1"/>
          <w:iCs w:val="1"/>
          <w:color w:val="auto"/>
        </w:rPr>
        <w:t>“Payment in Stock</w:t>
      </w:r>
      <w:r>
        <w:rPr>
          <w:rFonts w:ascii="Arial" w:cs="Arial" w:eastAsia="Arial" w:hAnsi="Arial"/>
          <w:sz w:val="19"/>
          <w:szCs w:val="19"/>
          <w:color w:val="auto"/>
        </w:rPr>
        <w:t>. Unless otherwise set forth in an Award agreement, a Participant may elect to have the applicable tax</w:t>
      </w:r>
      <w:r>
        <w:rPr>
          <w:rFonts w:ascii="Arial" w:cs="Arial" w:eastAsia="Arial" w:hAnsi="Arial"/>
          <w:sz w:val="19"/>
          <w:szCs w:val="19"/>
          <w:i w:val="1"/>
          <w:iCs w:val="1"/>
          <w:color w:val="auto"/>
        </w:rPr>
        <w:t xml:space="preserve"> </w:t>
      </w:r>
      <w:r>
        <w:rPr>
          <w:rFonts w:ascii="Arial" w:cs="Arial" w:eastAsia="Arial" w:hAnsi="Arial"/>
          <w:sz w:val="19"/>
          <w:szCs w:val="19"/>
          <w:color w:val="auto"/>
        </w:rPr>
        <w:t>withholding obligation satisfied up to the maximum extent consistent with equity accounting treatment, by (i) authorizing the Company to withhold from shares of Stock to be issued pursuant to any Award a number of shares as the Company may determine with an aggregate fair market value (as of the date the withholding is effected) up to the maximum, but no less than the minimum, tax withholding amount due, or (ii) transferring to the Company a number of shares of Stock as the Company may determine owned by the Participant with an aggregate fair market value (as of the date the withholding is effected) up to the maximum, but no less than the minimum, tax withholding amount due.”</w:t>
      </w:r>
    </w:p>
    <w:p>
      <w:pPr>
        <w:spacing w:after="0" w:line="151" w:lineRule="exact"/>
        <w:rPr>
          <w:sz w:val="20"/>
          <w:szCs w:val="20"/>
          <w:color w:val="auto"/>
        </w:rPr>
      </w:pPr>
    </w:p>
    <w:p>
      <w:pPr>
        <w:jc w:val="both"/>
        <w:ind w:firstLine="656"/>
        <w:spacing w:after="0" w:line="253" w:lineRule="auto"/>
        <w:tabs>
          <w:tab w:leader="none" w:pos="106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Status of Plan</w:t>
      </w:r>
      <w:r>
        <w:rPr>
          <w:rFonts w:ascii="Arial" w:cs="Arial" w:eastAsia="Arial" w:hAnsi="Arial"/>
          <w:sz w:val="22"/>
          <w:szCs w:val="22"/>
          <w:color w:val="auto"/>
        </w:rPr>
        <w:t>. Except as specifically amended hereby, the Plan shall continue in full force and effect. From and after the date hereof, all references in any agreements covering awards granted under the Plan shall be deemed to be references to the Plan as hereby amended.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Amended as of December 31, 2019.</w:t>
      </w:r>
    </w:p>
    <w:p>
      <w:pPr>
        <w:sectPr>
          <w:pgSz w:w="11900" w:h="16838" w:orient="portrait"/>
          <w:cols w:equalWidth="0" w:num="1">
            <w:col w:w="11420"/>
          </w:cols>
          <w:pgMar w:left="240" w:top="558"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INCENTIVE STOCK AWARD PLAN</w:t>
      </w:r>
    </w:p>
    <w:p>
      <w:pPr>
        <w:spacing w:after="0" w:line="242"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Pursuant to the Affiliated Managers Group, Inc. 2013 Incentive Stock Award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and subject to the terms of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Affiliated Managers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grantee named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Grantee</w:t>
      </w:r>
      <w:r>
        <w:rPr>
          <w:rFonts w:ascii="Arial" w:cs="Arial" w:eastAsia="Arial" w:hAnsi="Arial"/>
          <w:sz w:val="19"/>
          <w:szCs w:val="19"/>
          <w:color w:val="auto"/>
        </w:rPr>
        <w:t>”) an Award (the “</w:t>
      </w:r>
      <w:r>
        <w:rPr>
          <w:rFonts w:ascii="Arial" w:cs="Arial" w:eastAsia="Arial" w:hAnsi="Arial"/>
          <w:sz w:val="19"/>
          <w:szCs w:val="19"/>
          <w:u w:val="single" w:color="auto"/>
          <w:color w:val="auto"/>
        </w:rPr>
        <w:t>Award</w:t>
      </w:r>
      <w:r>
        <w:rPr>
          <w:rFonts w:ascii="Arial" w:cs="Arial" w:eastAsia="Arial" w:hAnsi="Arial"/>
          <w:sz w:val="19"/>
          <w:szCs w:val="19"/>
          <w:color w:val="auto"/>
        </w:rPr>
        <w:t>”) of restricted stock units (each a “</w:t>
      </w:r>
      <w:r>
        <w:rPr>
          <w:rFonts w:ascii="Arial" w:cs="Arial" w:eastAsia="Arial" w:hAnsi="Arial"/>
          <w:sz w:val="19"/>
          <w:szCs w:val="19"/>
          <w:u w:val="single" w:color="auto"/>
          <w:color w:val="auto"/>
        </w:rPr>
        <w:t>Unit</w:t>
      </w:r>
      <w:r>
        <w:rPr>
          <w:rFonts w:ascii="Arial" w:cs="Arial" w:eastAsia="Arial" w:hAnsi="Arial"/>
          <w:sz w:val="19"/>
          <w:szCs w:val="19"/>
          <w:color w:val="auto"/>
        </w:rPr>
        <w:t>,” and together, the “</w:t>
      </w:r>
      <w:r>
        <w:rPr>
          <w:rFonts w:ascii="Arial" w:cs="Arial" w:eastAsia="Arial" w:hAnsi="Arial"/>
          <w:sz w:val="19"/>
          <w:szCs w:val="19"/>
          <w:u w:val="single" w:color="auto"/>
          <w:color w:val="auto"/>
        </w:rPr>
        <w:t>Units</w:t>
      </w:r>
      <w:r>
        <w:rPr>
          <w:rFonts w:ascii="Arial" w:cs="Arial" w:eastAsia="Arial" w:hAnsi="Arial"/>
          <w:sz w:val="19"/>
          <w:szCs w:val="19"/>
          <w:color w:val="auto"/>
        </w:rPr>
        <w:t>”), consisting of the right to receive a distribution of the number of shares of common stock, par value $0.01 per share,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to be issued and distributed to the Grantee according to the terms set forth herein and in the Plan, and the vesting schedule and performance requirements (if any) set forth herein.</w:t>
      </w:r>
    </w:p>
    <w:p>
      <w:pPr>
        <w:spacing w:after="0" w:line="163" w:lineRule="exact"/>
        <w:rPr>
          <w:sz w:val="20"/>
          <w:szCs w:val="20"/>
          <w:color w:val="auto"/>
        </w:rPr>
      </w:pPr>
    </w:p>
    <w:p>
      <w:pPr>
        <w:ind w:left="2120" w:hanging="815"/>
        <w:spacing w:after="0"/>
        <w:tabs>
          <w:tab w:leader="none" w:pos="212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20" w:lineRule="exact"/>
        <w:rPr>
          <w:sz w:val="20"/>
          <w:szCs w:val="20"/>
          <w:color w:val="auto"/>
        </w:rPr>
      </w:pPr>
    </w:p>
    <w:p>
      <w:pPr>
        <w:ind w:right="40" w:firstLine="1305"/>
        <w:spacing w:after="0" w:line="216" w:lineRule="auto"/>
        <w:tabs>
          <w:tab w:leader="none" w:pos="2185"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the discretion of the Administrator to accelerate the vesting schedule, the Units shall 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1(b) shall apply. For the avoidance of doubt, the vesting of the Award may be accelerated automatically in certain circumstances described herein.</w:t>
      </w:r>
    </w:p>
    <w:p>
      <w:pPr>
        <w:spacing w:after="0" w:line="198" w:lineRule="exact"/>
        <w:rPr>
          <w:rFonts w:ascii="Arial" w:cs="Arial" w:eastAsia="Arial" w:hAnsi="Arial"/>
          <w:sz w:val="22"/>
          <w:szCs w:val="22"/>
          <w:color w:val="auto"/>
        </w:rPr>
      </w:pPr>
    </w:p>
    <w:p>
      <w:pPr>
        <w:ind w:right="120" w:firstLine="1305"/>
        <w:spacing w:after="0" w:line="245" w:lineRule="auto"/>
        <w:tabs>
          <w:tab w:leader="none" w:pos="2197"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Shares subject to this Award shall be issued and distributed only if the Units have vested in accordance with Section 1(a) and the Compensation Committee has certified the attainment of the Performance Measure with respect to all or any portion thereof; it being understood that if vesting of the Units is accelerated pursuant to Sections 1(c)(y) or 3(a)(ii) hereof, such vested Units shall remain subject to the attainment of the Performance Measure and no Shares shall be issued and distributed in respect of such Units unless and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Units (including any Units that have vested pursuant to Sections 1(c)(y) or 3(a)(ii) hereof), this Award shall terminate immediately and be of no further force or effect with respect to all of the Units or such portion thereof, as applicable.</w:t>
      </w:r>
    </w:p>
    <w:p>
      <w:pPr>
        <w:spacing w:after="0" w:line="194" w:lineRule="exact"/>
        <w:rPr>
          <w:rFonts w:ascii="Arial" w:cs="Arial" w:eastAsia="Arial" w:hAnsi="Arial"/>
          <w:sz w:val="19"/>
          <w:szCs w:val="19"/>
          <w:color w:val="auto"/>
        </w:rPr>
      </w:pPr>
    </w:p>
    <w:p>
      <w:pPr>
        <w:ind w:right="140" w:firstLine="1305"/>
        <w:spacing w:after="0" w:line="244" w:lineRule="auto"/>
        <w:tabs>
          <w:tab w:leader="none" w:pos="218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Grantee’s Employment (i) by the Company without Cause or (ii) by the Grantee for Good Reason, in either case occurring within the two-year period following a Change of Control,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(x)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or (y)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8" w:right="239" w:bottom="1440" w:gutter="0" w:footer="0" w:header="0"/>
        </w:sectPr>
      </w:pPr>
    </w:p>
    <w:bookmarkStart w:id="99" w:name="page100"/>
    <w:bookmarkEnd w:id="99"/>
    <w:p>
      <w:pPr>
        <w:ind w:right="20"/>
        <w:spacing w:after="0" w:line="216" w:lineRule="auto"/>
        <w:rPr>
          <w:sz w:val="20"/>
          <w:szCs w:val="20"/>
          <w:color w:val="auto"/>
        </w:rPr>
      </w:pPr>
      <w:r>
        <w:rPr>
          <w:rFonts w:ascii="Arial" w:cs="Arial" w:eastAsia="Arial" w:hAnsi="Arial"/>
          <w:sz w:val="22"/>
          <w:szCs w:val="22"/>
          <w:color w:val="auto"/>
        </w:rPr>
        <w:t xml:space="preserve">shall be issued and distributed at the time of such certification (if any) in the amount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(For the avoidance of doubt, </w:t>
      </w:r>
      <w:r>
        <w:rPr>
          <w:rFonts w:ascii="Arial" w:cs="Arial" w:eastAsia="Arial" w:hAnsi="Arial"/>
          <w:sz w:val="22"/>
          <w:szCs w:val="22"/>
          <w:i w:val="1"/>
          <w:iCs w:val="1"/>
          <w:color w:val="auto"/>
        </w:rPr>
        <w:t>if</w:t>
      </w:r>
      <w:r>
        <w:rPr>
          <w:rFonts w:ascii="Arial" w:cs="Arial" w:eastAsia="Arial" w:hAnsi="Arial"/>
          <w:sz w:val="22"/>
          <w:szCs w:val="22"/>
          <w:color w:val="auto"/>
        </w:rPr>
        <w:t xml:space="preserve"> the Units subject to this Award (including any Units that vested pursuant to sub-clause (y) above) are subject to a Performance Measure that the Compensation Committee has certified has </w:t>
      </w:r>
      <w:r>
        <w:rPr>
          <w:rFonts w:ascii="Arial" w:cs="Arial" w:eastAsia="Arial" w:hAnsi="Arial"/>
          <w:sz w:val="22"/>
          <w:szCs w:val="22"/>
          <w:i w:val="1"/>
          <w:iCs w:val="1"/>
          <w:color w:val="auto"/>
        </w:rPr>
        <w:t>not</w:t>
      </w:r>
      <w:r>
        <w:rPr>
          <w:rFonts w:ascii="Arial" w:cs="Arial" w:eastAsia="Arial" w:hAnsi="Arial"/>
          <w:sz w:val="22"/>
          <w:szCs w:val="22"/>
          <w:color w:val="auto"/>
        </w:rPr>
        <w:t xml:space="preserve"> been attained with respect to all or any portion thereof, this Award shall terminate with respect to all of the Units or such portion thereof, as applicable, in accordance with Section 1(b) hereof.)</w:t>
      </w:r>
    </w:p>
    <w:p>
      <w:pPr>
        <w:spacing w:after="0" w:line="199" w:lineRule="exact"/>
        <w:rPr>
          <w:sz w:val="20"/>
          <w:szCs w:val="20"/>
          <w:color w:val="auto"/>
        </w:rPr>
      </w:pPr>
    </w:p>
    <w:p>
      <w:pPr>
        <w:ind w:right="80" w:firstLine="1305"/>
        <w:spacing w:after="0" w:line="223" w:lineRule="auto"/>
        <w:tabs>
          <w:tab w:leader="none" w:pos="2107"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192" w:lineRule="exact"/>
        <w:rPr>
          <w:sz w:val="20"/>
          <w:szCs w:val="20"/>
          <w:color w:val="auto"/>
        </w:rPr>
      </w:pPr>
    </w:p>
    <w:p>
      <w:pPr>
        <w:ind w:left="2200" w:hanging="895"/>
        <w:spacing w:after="0"/>
        <w:tabs>
          <w:tab w:leader="none" w:pos="2200" w:val="left"/>
        </w:tabs>
        <w:numPr>
          <w:ilvl w:val="0"/>
          <w:numId w:val="6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Administrator</w:t>
      </w:r>
      <w:r>
        <w:rPr>
          <w:rFonts w:ascii="Arial" w:cs="Arial" w:eastAsia="Arial" w:hAnsi="Arial"/>
          <w:sz w:val="21"/>
          <w:szCs w:val="21"/>
          <w:color w:val="auto"/>
        </w:rPr>
        <w:t>” shall be defined as the Compensation Committee and, as applicable, any permitted</w:t>
      </w:r>
    </w:p>
    <w:p>
      <w:pPr>
        <w:spacing w:after="0"/>
        <w:rPr>
          <w:rFonts w:ascii="Arial" w:cs="Arial" w:eastAsia="Arial" w:hAnsi="Arial"/>
          <w:sz w:val="21"/>
          <w:szCs w:val="21"/>
          <w:color w:val="auto"/>
        </w:rPr>
      </w:pPr>
      <w:r>
        <w:rPr>
          <w:rFonts w:ascii="Arial" w:cs="Arial" w:eastAsia="Arial" w:hAnsi="Arial"/>
          <w:sz w:val="22"/>
          <w:szCs w:val="22"/>
          <w:color w:val="auto"/>
        </w:rPr>
        <w:t>delegate thereof.</w:t>
      </w:r>
    </w:p>
    <w:p>
      <w:pPr>
        <w:spacing w:after="0" w:line="201" w:lineRule="exact"/>
        <w:rPr>
          <w:rFonts w:ascii="Arial" w:cs="Arial" w:eastAsia="Arial" w:hAnsi="Arial"/>
          <w:sz w:val="21"/>
          <w:szCs w:val="21"/>
          <w:color w:val="auto"/>
        </w:rPr>
      </w:pPr>
    </w:p>
    <w:p>
      <w:pPr>
        <w:ind w:left="2200" w:hanging="895"/>
        <w:spacing w:after="0"/>
        <w:tabs>
          <w:tab w:leader="none" w:pos="22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19" w:lineRule="exact"/>
        <w:rPr>
          <w:rFonts w:ascii="Arial" w:cs="Arial" w:eastAsia="Arial" w:hAnsi="Arial"/>
          <w:sz w:val="22"/>
          <w:szCs w:val="22"/>
          <w:color w:val="auto"/>
        </w:rPr>
      </w:pPr>
    </w:p>
    <w:p>
      <w:pPr>
        <w:ind w:right="500" w:firstLine="1953"/>
        <w:spacing w:after="0" w:line="268" w:lineRule="auto"/>
        <w:tabs>
          <w:tab w:leader="none" w:pos="2707"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2" w:lineRule="exact"/>
        <w:rPr>
          <w:rFonts w:ascii="Arial" w:cs="Arial" w:eastAsia="Arial" w:hAnsi="Arial"/>
          <w:sz w:val="19"/>
          <w:szCs w:val="19"/>
          <w:color w:val="auto"/>
        </w:rPr>
      </w:pPr>
    </w:p>
    <w:p>
      <w:pPr>
        <w:ind w:left="2780" w:hanging="827"/>
        <w:spacing w:after="0"/>
        <w:tabs>
          <w:tab w:leader="none" w:pos="27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01" w:lineRule="exact"/>
        <w:rPr>
          <w:rFonts w:ascii="Arial" w:cs="Arial" w:eastAsia="Arial" w:hAnsi="Arial"/>
          <w:sz w:val="19"/>
          <w:szCs w:val="19"/>
          <w:color w:val="auto"/>
        </w:rPr>
      </w:pPr>
    </w:p>
    <w:p>
      <w:pPr>
        <w:ind w:right="320" w:firstLine="1953"/>
        <w:spacing w:after="0" w:line="223" w:lineRule="auto"/>
        <w:tabs>
          <w:tab w:leader="none" w:pos="2827"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199" w:lineRule="exact"/>
        <w:rPr>
          <w:rFonts w:ascii="Arial" w:cs="Arial" w:eastAsia="Arial" w:hAnsi="Arial"/>
          <w:sz w:val="22"/>
          <w:szCs w:val="22"/>
          <w:color w:val="auto"/>
        </w:rPr>
      </w:pPr>
    </w:p>
    <w:p>
      <w:pPr>
        <w:ind w:right="660" w:firstLine="1953"/>
        <w:spacing w:after="0" w:line="234" w:lineRule="auto"/>
        <w:tabs>
          <w:tab w:leader="none" w:pos="2801"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198" w:lineRule="exact"/>
        <w:rPr>
          <w:rFonts w:ascii="Arial" w:cs="Arial" w:eastAsia="Arial" w:hAnsi="Arial"/>
          <w:sz w:val="21"/>
          <w:szCs w:val="21"/>
          <w:color w:val="auto"/>
        </w:rPr>
      </w:pPr>
    </w:p>
    <w:p>
      <w:pPr>
        <w:ind w:firstLine="1953"/>
        <w:spacing w:after="0" w:line="223" w:lineRule="auto"/>
        <w:tabs>
          <w:tab w:leader="none" w:pos="2741" w:val="left"/>
        </w:tabs>
        <w:numPr>
          <w:ilvl w:val="1"/>
          <w:numId w:val="69"/>
        </w:numPr>
        <w:rPr>
          <w:rFonts w:ascii="Arial" w:cs="Arial" w:eastAsia="Arial" w:hAnsi="Arial"/>
          <w:sz w:val="21"/>
          <w:szCs w:val="21"/>
          <w:color w:val="auto"/>
        </w:rPr>
      </w:pPr>
      <w:r>
        <w:rPr>
          <w:rFonts w:ascii="Arial" w:cs="Arial" w:eastAsia="Arial" w:hAnsi="Arial"/>
          <w:sz w:val="21"/>
          <w:szCs w:val="21"/>
          <w:color w:val="auto"/>
        </w:rPr>
        <w:t>for purposes of Section 7(a),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22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77" w:right="279" w:bottom="1440" w:gutter="0" w:footer="0" w:header="0"/>
        </w:sectPr>
      </w:pPr>
    </w:p>
    <w:bookmarkStart w:id="100" w:name="page101"/>
    <w:bookmarkEnd w:id="100"/>
    <w:p>
      <w:pPr>
        <w:ind w:right="160"/>
        <w:spacing w:after="0" w:line="302" w:lineRule="auto"/>
        <w:rPr>
          <w:sz w:val="20"/>
          <w:szCs w:val="20"/>
          <w:color w:val="auto"/>
        </w:rPr>
      </w:pPr>
      <w:r>
        <w:rPr>
          <w:rFonts w:ascii="Arial" w:cs="Arial" w:eastAsia="Arial" w:hAnsi="Arial"/>
          <w:sz w:val="19"/>
          <w:szCs w:val="19"/>
          <w:color w:val="auto"/>
        </w:rPr>
        <w:t xml:space="preserve">foregoing, if Grantee is party to an employment, severance-benefit, change of control or similar agreement with the Company that contains a definition of “Cause” (or a correlative term), such definition will apply (in the case of such Grantee for purposes of this Agreement) in lieu of Sections 2(b)(i)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2(b)(v) of the definition set forth above will always apply for purposes of this Agreement.</w:t>
      </w:r>
    </w:p>
    <w:p>
      <w:pPr>
        <w:spacing w:after="0" w:line="156" w:lineRule="exact"/>
        <w:rPr>
          <w:sz w:val="20"/>
          <w:szCs w:val="20"/>
          <w:color w:val="auto"/>
        </w:rPr>
      </w:pPr>
    </w:p>
    <w:p>
      <w:pPr>
        <w:ind w:left="2200" w:hanging="895"/>
        <w:spacing w:after="0"/>
        <w:tabs>
          <w:tab w:leader="none" w:pos="22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29" w:lineRule="exact"/>
        <w:rPr>
          <w:sz w:val="20"/>
          <w:szCs w:val="20"/>
          <w:color w:val="auto"/>
        </w:rPr>
      </w:pPr>
    </w:p>
    <w:p>
      <w:pPr>
        <w:ind w:right="140" w:firstLine="1953"/>
        <w:spacing w:after="0" w:line="261" w:lineRule="auto"/>
        <w:tabs>
          <w:tab w:leader="none" w:pos="2275" w:val="left"/>
        </w:tabs>
        <w:numPr>
          <w:ilvl w:val="0"/>
          <w:numId w:val="71"/>
        </w:numPr>
        <w:rPr>
          <w:rFonts w:ascii="Arial" w:cs="Arial" w:eastAsia="Arial" w:hAnsi="Arial"/>
          <w:sz w:val="21"/>
          <w:szCs w:val="21"/>
          <w:color w:val="auto"/>
        </w:rPr>
      </w:pPr>
      <w:r>
        <w:rPr>
          <w:rFonts w:ascii="Arial" w:cs="Arial" w:eastAsia="Arial" w:hAnsi="Arial"/>
          <w:sz w:val="21"/>
          <w:szCs w:val="21"/>
          <w:color w:val="auto"/>
        </w:rPr>
        <w:t>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80" w:lineRule="exact"/>
        <w:rPr>
          <w:rFonts w:ascii="Arial" w:cs="Arial" w:eastAsia="Arial" w:hAnsi="Arial"/>
          <w:sz w:val="21"/>
          <w:szCs w:val="21"/>
          <w:color w:val="auto"/>
        </w:rPr>
      </w:pPr>
    </w:p>
    <w:p>
      <w:pPr>
        <w:ind w:firstLine="1953"/>
        <w:spacing w:after="0" w:line="292" w:lineRule="auto"/>
        <w:tabs>
          <w:tab w:leader="none" w:pos="2335"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367" w:lineRule="exact"/>
        <w:rPr>
          <w:rFonts w:ascii="Arial" w:cs="Arial" w:eastAsia="Arial" w:hAnsi="Arial"/>
          <w:sz w:val="19"/>
          <w:szCs w:val="19"/>
          <w:color w:val="auto"/>
        </w:rPr>
      </w:pPr>
    </w:p>
    <w:p>
      <w:pPr>
        <w:ind w:right="20" w:firstLine="1953"/>
        <w:spacing w:after="0" w:line="297" w:lineRule="auto"/>
        <w:tabs>
          <w:tab w:leader="none" w:pos="23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47" w:lineRule="exact"/>
        <w:rPr>
          <w:rFonts w:ascii="Arial" w:cs="Arial" w:eastAsia="Arial" w:hAnsi="Arial"/>
          <w:sz w:val="19"/>
          <w:szCs w:val="19"/>
          <w:color w:val="auto"/>
        </w:rPr>
      </w:pPr>
    </w:p>
    <w:p>
      <w:pPr>
        <w:ind w:right="180" w:firstLine="1953"/>
        <w:spacing w:after="0" w:line="246" w:lineRule="auto"/>
        <w:tabs>
          <w:tab w:leader="none" w:pos="2369" w:val="left"/>
        </w:tabs>
        <w:numPr>
          <w:ilvl w:val="0"/>
          <w:numId w:val="71"/>
        </w:numPr>
        <w:rPr>
          <w:rFonts w:ascii="Arial" w:cs="Arial" w:eastAsia="Arial" w:hAnsi="Arial"/>
          <w:sz w:val="22"/>
          <w:szCs w:val="22"/>
          <w:color w:val="auto"/>
        </w:rPr>
      </w:pPr>
      <w:r>
        <w:rPr>
          <w:rFonts w:ascii="Arial" w:cs="Arial" w:eastAsia="Arial" w:hAnsi="Arial"/>
          <w:sz w:val="22"/>
          <w:szCs w:val="22"/>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2"/>
          <w:szCs w:val="22"/>
          <w:u w:val="single" w:color="auto"/>
          <w:color w:val="auto"/>
        </w:rPr>
        <w:t>provided that</w:t>
      </w:r>
      <w:r>
        <w:rPr>
          <w:rFonts w:ascii="Arial" w:cs="Arial" w:eastAsia="Arial" w:hAnsi="Arial"/>
          <w:sz w:val="22"/>
          <w:szCs w:val="22"/>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a participant therein shall not be deemed a Present Client or Past Client (as applicable) hereunder); and</w:t>
      </w:r>
    </w:p>
    <w:p>
      <w:pPr>
        <w:spacing w:after="0" w:line="237" w:lineRule="exact"/>
        <w:rPr>
          <w:rFonts w:ascii="Arial" w:cs="Arial" w:eastAsia="Arial" w:hAnsi="Arial"/>
          <w:sz w:val="22"/>
          <w:szCs w:val="22"/>
          <w:color w:val="auto"/>
        </w:rPr>
      </w:pPr>
    </w:p>
    <w:p>
      <w:pPr>
        <w:ind w:right="260" w:firstLine="1953"/>
        <w:spacing w:after="0" w:line="312" w:lineRule="auto"/>
        <w:tabs>
          <w:tab w:leader="none" w:pos="2309"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101" w:name="page102"/>
    <w:bookmarkEnd w:id="101"/>
    <w:p>
      <w:pPr>
        <w:ind w:right="140" w:firstLine="1305"/>
        <w:spacing w:after="0" w:line="268" w:lineRule="auto"/>
        <w:tabs>
          <w:tab w:leader="none" w:pos="2197"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2" w:lineRule="exact"/>
        <w:rPr>
          <w:rFonts w:ascii="Arial" w:cs="Arial" w:eastAsia="Arial" w:hAnsi="Arial"/>
          <w:sz w:val="19"/>
          <w:szCs w:val="19"/>
          <w:color w:val="auto"/>
        </w:rPr>
      </w:pPr>
    </w:p>
    <w:p>
      <w:pPr>
        <w:ind w:right="120" w:firstLine="1305"/>
        <w:spacing w:after="0" w:line="218" w:lineRule="auto"/>
        <w:tabs>
          <w:tab w:leader="none" w:pos="2185"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01" w:lineRule="exact"/>
        <w:rPr>
          <w:rFonts w:ascii="Arial" w:cs="Arial" w:eastAsia="Arial" w:hAnsi="Arial"/>
          <w:sz w:val="22"/>
          <w:szCs w:val="22"/>
          <w:color w:val="auto"/>
        </w:rPr>
      </w:pPr>
    </w:p>
    <w:p>
      <w:pPr>
        <w:ind w:left="2720" w:hanging="767"/>
        <w:spacing w:after="0"/>
        <w:tabs>
          <w:tab w:leader="none" w:pos="27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54" w:lineRule="exact"/>
        <w:rPr>
          <w:rFonts w:ascii="Arial" w:cs="Arial" w:eastAsia="Arial" w:hAnsi="Arial"/>
          <w:sz w:val="19"/>
          <w:szCs w:val="19"/>
          <w:color w:val="auto"/>
        </w:rPr>
      </w:pPr>
    </w:p>
    <w:p>
      <w:pPr>
        <w:ind w:right="240" w:firstLine="1953"/>
        <w:spacing w:after="0" w:line="232" w:lineRule="auto"/>
        <w:tabs>
          <w:tab w:leader="none" w:pos="2767" w:val="left"/>
        </w:tabs>
        <w:numPr>
          <w:ilvl w:val="1"/>
          <w:numId w:val="72"/>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199" w:lineRule="exact"/>
        <w:rPr>
          <w:rFonts w:ascii="Arial" w:cs="Arial" w:eastAsia="Arial" w:hAnsi="Arial"/>
          <w:sz w:val="22"/>
          <w:szCs w:val="22"/>
          <w:color w:val="auto"/>
        </w:rPr>
      </w:pPr>
    </w:p>
    <w:p>
      <w:pPr>
        <w:ind w:right="160" w:firstLine="1953"/>
        <w:spacing w:after="0" w:line="232" w:lineRule="auto"/>
        <w:tabs>
          <w:tab w:leader="none" w:pos="2827" w:val="left"/>
        </w:tabs>
        <w:numPr>
          <w:ilvl w:val="1"/>
          <w:numId w:val="72"/>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22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202" w:lineRule="exact"/>
        <w:rPr>
          <w:sz w:val="20"/>
          <w:szCs w:val="20"/>
          <w:color w:val="auto"/>
        </w:rPr>
      </w:pPr>
    </w:p>
    <w:p>
      <w:pPr>
        <w:ind w:right="140" w:firstLine="1305"/>
        <w:spacing w:after="0" w:line="229" w:lineRule="auto"/>
        <w:tabs>
          <w:tab w:leader="none" w:pos="2161" w:val="left"/>
        </w:tabs>
        <w:numPr>
          <w:ilvl w:val="0"/>
          <w:numId w:val="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198" w:lineRule="exact"/>
        <w:rPr>
          <w:rFonts w:ascii="Arial" w:cs="Arial" w:eastAsia="Arial" w:hAnsi="Arial"/>
          <w:sz w:val="21"/>
          <w:szCs w:val="21"/>
          <w:color w:val="auto"/>
        </w:rPr>
      </w:pPr>
    </w:p>
    <w:p>
      <w:pPr>
        <w:ind w:firstLine="1305"/>
        <w:spacing w:after="0" w:line="242" w:lineRule="auto"/>
        <w:tabs>
          <w:tab w:leader="none" w:pos="2197"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xml:space="preserve">”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77" w:right="239" w:bottom="1440" w:gutter="0" w:footer="0" w:header="0"/>
        </w:sectPr>
      </w:pPr>
    </w:p>
    <w:bookmarkStart w:id="102" w:name="page103"/>
    <w:bookmarkEnd w:id="102"/>
    <w:p>
      <w:pPr>
        <w:ind w:right="280"/>
        <w:spacing w:after="0" w:line="223" w:lineRule="auto"/>
        <w:rPr>
          <w:sz w:val="20"/>
          <w:szCs w:val="20"/>
          <w:color w:val="auto"/>
        </w:rPr>
      </w:pPr>
      <w:r>
        <w:rPr>
          <w:rFonts w:ascii="Arial" w:cs="Arial" w:eastAsia="Arial" w:hAnsi="Arial"/>
          <w:sz w:val="22"/>
          <w:szCs w:val="22"/>
          <w:color w:val="auto"/>
        </w:rPr>
        <w:t>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00" w:lineRule="exact"/>
        <w:rPr>
          <w:sz w:val="20"/>
          <w:szCs w:val="20"/>
          <w:color w:val="auto"/>
        </w:rPr>
      </w:pPr>
    </w:p>
    <w:p>
      <w:pPr>
        <w:ind w:right="1140" w:firstLine="1305"/>
        <w:spacing w:after="0" w:line="298" w:lineRule="auto"/>
        <w:tabs>
          <w:tab w:leader="none" w:pos="2197"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Measure</w:t>
      </w:r>
      <w:r>
        <w:rPr>
          <w:rFonts w:ascii="Arial" w:cs="Arial" w:eastAsia="Arial" w:hAnsi="Arial"/>
          <w:sz w:val="19"/>
          <w:szCs w:val="19"/>
          <w:color w:val="auto"/>
        </w:rPr>
        <w:t xml:space="preserve">” (a Performance Criteria under the Plan) shall mean the target for the Performance Period (each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as applicable), as established by the Compensation Committee.</w:t>
      </w:r>
    </w:p>
    <w:p>
      <w:pPr>
        <w:spacing w:after="0" w:line="146" w:lineRule="exact"/>
        <w:rPr>
          <w:rFonts w:ascii="Arial" w:cs="Arial" w:eastAsia="Arial" w:hAnsi="Arial"/>
          <w:sz w:val="19"/>
          <w:szCs w:val="19"/>
          <w:color w:val="auto"/>
        </w:rPr>
      </w:pPr>
    </w:p>
    <w:p>
      <w:pPr>
        <w:ind w:right="800" w:firstLine="1305"/>
        <w:spacing w:after="0" w:line="298" w:lineRule="auto"/>
        <w:tabs>
          <w:tab w:leader="none" w:pos="21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6" w:lineRule="exact"/>
        <w:rPr>
          <w:rFonts w:ascii="Arial" w:cs="Arial" w:eastAsia="Arial" w:hAnsi="Arial"/>
          <w:sz w:val="19"/>
          <w:szCs w:val="19"/>
          <w:color w:val="auto"/>
        </w:rPr>
      </w:pPr>
    </w:p>
    <w:p>
      <w:pPr>
        <w:ind w:firstLine="1305"/>
        <w:spacing w:after="0" w:line="241" w:lineRule="auto"/>
        <w:tabs>
          <w:tab w:leader="none" w:pos="21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right="20" w:firstLine="1305"/>
        <w:spacing w:after="0" w:line="245" w:lineRule="auto"/>
        <w:tabs>
          <w:tab w:leader="none" w:pos="2197"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4" w:lineRule="exact"/>
        <w:rPr>
          <w:sz w:val="20"/>
          <w:szCs w:val="20"/>
          <w:color w:val="auto"/>
        </w:rPr>
      </w:pPr>
    </w:p>
    <w:p>
      <w:pPr>
        <w:ind w:right="500" w:firstLine="1305"/>
        <w:spacing w:after="0" w:line="232" w:lineRule="auto"/>
        <w:tabs>
          <w:tab w:leader="none" w:pos="210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200" w:lineRule="exact"/>
        <w:rPr>
          <w:sz w:val="20"/>
          <w:szCs w:val="20"/>
          <w:color w:val="auto"/>
        </w:rPr>
      </w:pPr>
    </w:p>
    <w:p>
      <w:pPr>
        <w:ind w:left="5660" w:right="2620" w:hanging="4355"/>
        <w:spacing w:after="0" w:line="456" w:lineRule="auto"/>
        <w:tabs>
          <w:tab w:leader="none" w:pos="2193"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 or Disability</w:t>
      </w:r>
      <w:r>
        <w:rPr>
          <w:rFonts w:ascii="Arial" w:cs="Arial" w:eastAsia="Arial" w:hAnsi="Arial"/>
          <w:sz w:val="22"/>
          <w:szCs w:val="22"/>
          <w:color w:val="auto"/>
        </w:rPr>
        <w:t>. If the Grantee’s Employment 5</w:t>
      </w:r>
    </w:p>
    <w:p>
      <w:pPr>
        <w:sectPr>
          <w:pgSz w:w="11900" w:h="16838" w:orient="portrait"/>
          <w:cols w:equalWidth="0" w:num="1">
            <w:col w:w="11400"/>
          </w:cols>
          <w:pgMar w:left="240" w:top="577" w:right="259" w:bottom="1440" w:gutter="0" w:footer="0" w:header="0"/>
        </w:sectPr>
      </w:pPr>
    </w:p>
    <w:bookmarkStart w:id="103" w:name="page104"/>
    <w:bookmarkEnd w:id="103"/>
    <w:p>
      <w:pPr>
        <w:ind w:right="80"/>
        <w:spacing w:after="0" w:line="242" w:lineRule="auto"/>
        <w:rPr>
          <w:sz w:val="20"/>
          <w:szCs w:val="20"/>
          <w:color w:val="auto"/>
        </w:rPr>
      </w:pPr>
      <w:r>
        <w:rPr>
          <w:rFonts w:ascii="Arial" w:cs="Arial" w:eastAsia="Arial" w:hAnsi="Arial"/>
          <w:sz w:val="19"/>
          <w:szCs w:val="19"/>
          <w:color w:val="auto"/>
        </w:rPr>
        <w:t xml:space="preserve">terminates by reason of death or disability,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(i)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if the Units subject to this Award (including any Units that vested pursuant to sub-clause (ii) above) are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of the Units or any portion thereof, as applicable, in accordance with Section 1(b) hereof.)</w:t>
      </w:r>
    </w:p>
    <w:p>
      <w:pPr>
        <w:spacing w:after="0" w:line="206" w:lineRule="exact"/>
        <w:rPr>
          <w:sz w:val="20"/>
          <w:szCs w:val="20"/>
          <w:color w:val="auto"/>
        </w:rPr>
      </w:pPr>
    </w:p>
    <w:p>
      <w:pPr>
        <w:ind w:right="100" w:firstLine="1305"/>
        <w:spacing w:after="0" w:line="214" w:lineRule="auto"/>
        <w:tabs>
          <w:tab w:leader="none" w:pos="219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Grantee’s Employment terminates for any reason other than death or disability or in connection with a Change of Control described in Section 1(c), this Award shall, to the extent not already vested as described herein, terminate immediately and be of no further force or effect; it being understood that this Award shall remain outstanding following the date of any termination with respect to any Units subject to a Performance Measure that have vested (including pursuant to Sections 1(c)(y) or 3(a)(ii) hereof) until the Shares to be issued in respect thereof are issued and distributed or the Award is terminated in accordance with Section 1(b).</w:t>
      </w:r>
    </w:p>
    <w:p>
      <w:pPr>
        <w:spacing w:after="0" w:line="227"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188" w:lineRule="exact"/>
        <w:rPr>
          <w:sz w:val="20"/>
          <w:szCs w:val="20"/>
          <w:color w:val="auto"/>
        </w:rPr>
      </w:pPr>
    </w:p>
    <w:p>
      <w:pPr>
        <w:ind w:right="80" w:firstLine="1305"/>
        <w:spacing w:after="0" w:line="247" w:lineRule="auto"/>
        <w:tabs>
          <w:tab w:leader="none" w:pos="210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Vesting and Distribution</w:t>
      </w:r>
      <w:r>
        <w:rPr>
          <w:rFonts w:ascii="Arial" w:cs="Arial" w:eastAsia="Arial" w:hAnsi="Arial"/>
          <w:sz w:val="19"/>
          <w:szCs w:val="19"/>
          <w:color w:val="auto"/>
        </w:rPr>
        <w:t xml:space="preserve">. The Units shall be distributed only in Shares, such that the Grantee shall be entitled to receive one Share for each vested Unit following, if applicable, attainment of the Performance Measure. The Shares subject to this Award shall be issued and distributed to the Grantee pursuant to Section 1 hereof, and the vesting schedule and, if applicable, performance requirements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with such issuance and distribution of the Shares (whether the Shares are to be held by the Company on the Grantee’s behalf pursuant to Section 14(b) hereof or issued directly to the Grantee) to occur, in all cases, no later than March 15 of the year following the year in which the Units vest, in accordance with the short-term deferral exception under Code Section 409A and the regulations and guidance thereunder.</w:t>
      </w:r>
    </w:p>
    <w:p>
      <w:pPr>
        <w:spacing w:after="0" w:line="22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Any sales of Shares are subject to the Company’s insider trading policy, equity ownership guidelines and other Company policies as may be in effect from time to time or otherwise established by the Administrator.</w:t>
      </w:r>
    </w:p>
    <w:p>
      <w:pPr>
        <w:spacing w:after="0" w:line="188" w:lineRule="exact"/>
        <w:rPr>
          <w:sz w:val="20"/>
          <w:szCs w:val="20"/>
          <w:color w:val="auto"/>
        </w:rPr>
      </w:pPr>
    </w:p>
    <w:p>
      <w:pPr>
        <w:ind w:firstLine="1305"/>
        <w:spacing w:after="0" w:line="223" w:lineRule="auto"/>
        <w:tabs>
          <w:tab w:leader="none" w:pos="2107"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If the Company makes any cash dividends or other cash distributions to the holders of Shares of the Company’s common stock, the Grantee shall have the right to receive payments in lieu thereof in respect of the Units subject to this Award (“</w:t>
      </w: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If the Company makes such a cash dividend or other cash distribution prior to the issuance and distribution of the Shares subject to this Award or prior to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total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77" w:right="259" w:bottom="1440" w:gutter="0" w:footer="0" w:header="0"/>
        </w:sectPr>
      </w:pPr>
    </w:p>
    <w:bookmarkStart w:id="104" w:name="page105"/>
    <w:bookmarkEnd w:id="104"/>
    <w:p>
      <w:pPr>
        <w:ind w:right="220"/>
        <w:spacing w:after="0" w:line="257" w:lineRule="auto"/>
        <w:rPr>
          <w:sz w:val="20"/>
          <w:szCs w:val="20"/>
          <w:color w:val="auto"/>
        </w:rPr>
      </w:pPr>
      <w:r>
        <w:rPr>
          <w:rFonts w:ascii="Arial" w:cs="Arial" w:eastAsia="Arial" w:hAnsi="Arial"/>
          <w:sz w:val="19"/>
          <w:szCs w:val="19"/>
          <w:color w:val="auto"/>
        </w:rPr>
        <w:t>number of then outstanding Units. Such amounts shall be subject to the same vesting, payment (without interest), issuance, distribution and other terms and conditions of the Units to which they relate as provided in this Agreement, including, for the avoidance of doubt, the attainment of any Performance Measure, as certified by the Compensation Committee. References in this Agreement to Units shall, as appropriate, include any Dividend Equivalent Rights described in this Section 5.</w:t>
      </w:r>
    </w:p>
    <w:p>
      <w:pPr>
        <w:spacing w:after="0" w:line="185" w:lineRule="exact"/>
        <w:rPr>
          <w:sz w:val="20"/>
          <w:szCs w:val="20"/>
          <w:color w:val="auto"/>
        </w:rPr>
      </w:pPr>
    </w:p>
    <w:p>
      <w:pPr>
        <w:jc w:val="both"/>
        <w:ind w:right="160" w:firstLine="1305"/>
        <w:spacing w:after="0" w:line="218" w:lineRule="auto"/>
        <w:tabs>
          <w:tab w:leader="none" w:pos="210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This Award shall not be interpreted to bestow upon the Grantee any equity interest or ownership in the Company or any subsidiary or Affiliate prior to the dates on which the Company delivers Shares to the Grantee. The Grantee shall have no rights as a shareholder with respect to the Units, and shall have the rights of a shareholder only as to those Shares, if any, that are actually delivered under this Award.</w:t>
      </w:r>
    </w:p>
    <w:p>
      <w:pPr>
        <w:spacing w:after="0" w:line="201" w:lineRule="exact"/>
        <w:rPr>
          <w:rFonts w:ascii="Arial" w:cs="Arial" w:eastAsia="Arial" w:hAnsi="Arial"/>
          <w:sz w:val="22"/>
          <w:szCs w:val="22"/>
          <w:color w:val="auto"/>
        </w:rPr>
      </w:pPr>
    </w:p>
    <w:p>
      <w:pPr>
        <w:ind w:left="2120" w:hanging="815"/>
        <w:spacing w:after="0"/>
        <w:tabs>
          <w:tab w:leader="none" w:pos="21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20" w:lineRule="exact"/>
        <w:rPr>
          <w:sz w:val="20"/>
          <w:szCs w:val="20"/>
          <w:color w:val="auto"/>
        </w:rPr>
      </w:pPr>
    </w:p>
    <w:p>
      <w:pPr>
        <w:ind w:right="20" w:firstLine="1305"/>
        <w:spacing w:after="0" w:line="218" w:lineRule="auto"/>
        <w:tabs>
          <w:tab w:leader="none" w:pos="2185"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consideration of the Award of Units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23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189" w:lineRule="exact"/>
        <w:rPr>
          <w:sz w:val="20"/>
          <w:szCs w:val="20"/>
          <w:color w:val="auto"/>
        </w:rPr>
      </w:pPr>
    </w:p>
    <w:p>
      <w:pPr>
        <w:ind w:firstLine="1305"/>
        <w:spacing w:after="0" w:line="252" w:lineRule="auto"/>
        <w:tabs>
          <w:tab w:leader="none" w:pos="2197" w:val="left"/>
        </w:tabs>
        <w:numPr>
          <w:ilvl w:val="0"/>
          <w:numId w:val="82"/>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189" w:lineRule="exact"/>
        <w:rPr>
          <w:rFonts w:ascii="Arial" w:cs="Arial" w:eastAsia="Arial" w:hAnsi="Arial"/>
          <w:sz w:val="19"/>
          <w:szCs w:val="19"/>
          <w:color w:val="auto"/>
        </w:rPr>
      </w:pPr>
    </w:p>
    <w:p>
      <w:pPr>
        <w:ind w:right="500" w:firstLine="1305"/>
        <w:spacing w:after="0" w:line="232" w:lineRule="auto"/>
        <w:tabs>
          <w:tab w:leader="none" w:pos="2185"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addition to (and not in limitation of) the provisions of Sections 7(a) and (b) of this Agreement, the Grantee agrees, for the benefit of the Company and its subsidiaries and Affiliates,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577" w:right="259" w:bottom="1440" w:gutter="0" w:footer="0" w:header="0"/>
        </w:sectPr>
      </w:pPr>
    </w:p>
    <w:bookmarkStart w:id="105" w:name="page106"/>
    <w:bookmarkEnd w:id="105"/>
    <w:p>
      <w:pPr>
        <w:ind w:right="20"/>
        <w:spacing w:after="0" w:line="257" w:lineRule="auto"/>
        <w:rPr>
          <w:sz w:val="20"/>
          <w:szCs w:val="20"/>
          <w:color w:val="auto"/>
        </w:rPr>
      </w:pPr>
      <w:r>
        <w:rPr>
          <w:rFonts w:ascii="Arial" w:cs="Arial" w:eastAsia="Arial" w:hAnsi="Arial"/>
          <w:sz w:val="19"/>
          <w:szCs w:val="19"/>
          <w:color w:val="auto"/>
        </w:rPr>
        <w:t>the Grantee shall not, during the term of his or her Employment (or other applicable service relationship) with the Company or any of its subsidiaries or Affiliates and for one (1) 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pacing w:after="0" w:line="185" w:lineRule="exact"/>
        <w:rPr>
          <w:sz w:val="20"/>
          <w:szCs w:val="20"/>
          <w:color w:val="auto"/>
        </w:rPr>
      </w:pPr>
    </w:p>
    <w:p>
      <w:pPr>
        <w:ind w:right="600" w:firstLine="1953"/>
        <w:spacing w:after="0" w:line="232" w:lineRule="auto"/>
        <w:tabs>
          <w:tab w:leader="none" w:pos="2707" w:val="left"/>
        </w:tabs>
        <w:numPr>
          <w:ilvl w:val="0"/>
          <w:numId w:val="83"/>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199" w:lineRule="exact"/>
        <w:rPr>
          <w:rFonts w:ascii="Arial" w:cs="Arial" w:eastAsia="Arial" w:hAnsi="Arial"/>
          <w:sz w:val="22"/>
          <w:szCs w:val="22"/>
          <w:color w:val="auto"/>
        </w:rPr>
      </w:pPr>
    </w:p>
    <w:p>
      <w:pPr>
        <w:ind w:right="20" w:firstLine="1953"/>
        <w:spacing w:after="0" w:line="252" w:lineRule="auto"/>
        <w:tabs>
          <w:tab w:leader="none" w:pos="2767" w:val="left"/>
        </w:tabs>
        <w:numPr>
          <w:ilvl w:val="0"/>
          <w:numId w:val="83"/>
        </w:numPr>
        <w:rPr>
          <w:rFonts w:ascii="Arial" w:cs="Arial" w:eastAsia="Arial" w:hAnsi="Arial"/>
          <w:sz w:val="19"/>
          <w:szCs w:val="19"/>
          <w:color w:val="auto"/>
        </w:rPr>
      </w:pPr>
      <w:r>
        <w:rPr>
          <w:rFonts w:ascii="Arial" w:cs="Arial" w:eastAsia="Arial" w:hAnsi="Arial"/>
          <w:sz w:val="19"/>
          <w:szCs w:val="19"/>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189" w:lineRule="exact"/>
        <w:rPr>
          <w:rFonts w:ascii="Arial" w:cs="Arial" w:eastAsia="Arial" w:hAnsi="Arial"/>
          <w:sz w:val="19"/>
          <w:szCs w:val="19"/>
          <w:color w:val="auto"/>
        </w:rPr>
      </w:pPr>
    </w:p>
    <w:p>
      <w:pPr>
        <w:ind w:right="220" w:firstLine="1953"/>
        <w:spacing w:after="0" w:line="298" w:lineRule="auto"/>
        <w:tabs>
          <w:tab w:leader="none" w:pos="2827" w:val="left"/>
        </w:tabs>
        <w:numPr>
          <w:ilvl w:val="0"/>
          <w:numId w:val="83"/>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6" w:lineRule="exact"/>
        <w:rPr>
          <w:rFonts w:ascii="Arial" w:cs="Arial" w:eastAsia="Arial" w:hAnsi="Arial"/>
          <w:sz w:val="19"/>
          <w:szCs w:val="19"/>
          <w:color w:val="auto"/>
        </w:rPr>
      </w:pPr>
    </w:p>
    <w:p>
      <w:pPr>
        <w:ind w:right="220" w:firstLine="1953"/>
        <w:spacing w:after="0" w:line="232" w:lineRule="auto"/>
        <w:tabs>
          <w:tab w:leader="none" w:pos="2801" w:val="left"/>
        </w:tabs>
        <w:numPr>
          <w:ilvl w:val="0"/>
          <w:numId w:val="83"/>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27" w:lineRule="exact"/>
        <w:rPr>
          <w:sz w:val="20"/>
          <w:szCs w:val="20"/>
          <w:color w:val="auto"/>
        </w:rPr>
      </w:pPr>
    </w:p>
    <w:p>
      <w:pPr>
        <w:ind w:right="600" w:firstLine="2593"/>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7(c) shall not be applicable to Clients (including Potential Clients) who are also immediate family members of the Grantee.</w:t>
      </w:r>
    </w:p>
    <w:p>
      <w:pPr>
        <w:spacing w:after="0" w:line="188" w:lineRule="exact"/>
        <w:rPr>
          <w:sz w:val="20"/>
          <w:szCs w:val="20"/>
          <w:color w:val="auto"/>
        </w:rPr>
      </w:pPr>
    </w:p>
    <w:p>
      <w:pPr>
        <w:ind w:right="160" w:firstLine="1305"/>
        <w:spacing w:after="0" w:line="218" w:lineRule="auto"/>
        <w:tabs>
          <w:tab w:leader="none" w:pos="21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7(a),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01" w:lineRule="exact"/>
        <w:rPr>
          <w:rFonts w:ascii="Arial" w:cs="Arial" w:eastAsia="Arial" w:hAnsi="Arial"/>
          <w:sz w:val="22"/>
          <w:szCs w:val="22"/>
          <w:color w:val="auto"/>
        </w:rPr>
      </w:pPr>
    </w:p>
    <w:p>
      <w:pPr>
        <w:ind w:firstLine="1305"/>
        <w:spacing w:after="0" w:line="242" w:lineRule="auto"/>
        <w:tabs>
          <w:tab w:leader="none" w:pos="2185"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577" w:right="299" w:bottom="1440" w:gutter="0" w:footer="0" w:header="0"/>
        </w:sectPr>
      </w:pPr>
    </w:p>
    <w:bookmarkStart w:id="106" w:name="page107"/>
    <w:bookmarkEnd w:id="106"/>
    <w:p>
      <w:pPr>
        <w:ind w:right="40"/>
        <w:spacing w:after="0"/>
        <w:rPr>
          <w:sz w:val="20"/>
          <w:szCs w:val="20"/>
          <w:color w:val="auto"/>
        </w:rPr>
      </w:pPr>
      <w:r>
        <w:rPr>
          <w:rFonts w:ascii="Arial" w:cs="Arial" w:eastAsia="Arial" w:hAnsi="Arial"/>
          <w:sz w:val="19"/>
          <w:szCs w:val="19"/>
          <w:color w:val="auto"/>
        </w:rPr>
        <w:t>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7(e) shall not (i) apply to any knowledge, information or property which (x) is generally known or available to 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this immunity from liability, the Grantee may be held liable if he or she accesses trade secrets by unauthorized means.</w:t>
      </w:r>
    </w:p>
    <w:p>
      <w:pPr>
        <w:spacing w:after="0" w:line="211" w:lineRule="exact"/>
        <w:rPr>
          <w:sz w:val="20"/>
          <w:szCs w:val="20"/>
          <w:color w:val="auto"/>
        </w:rPr>
      </w:pPr>
    </w:p>
    <w:p>
      <w:pPr>
        <w:ind w:firstLine="1305"/>
        <w:spacing w:after="0" w:line="242" w:lineRule="auto"/>
        <w:tabs>
          <w:tab w:leader="none" w:pos="21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ind w:right="200" w:firstLine="1305"/>
        <w:spacing w:after="0" w:line="249" w:lineRule="auto"/>
        <w:tabs>
          <w:tab w:leader="none" w:pos="2197" w:val="left"/>
        </w:tabs>
        <w:numPr>
          <w:ilvl w:val="0"/>
          <w:numId w:val="85"/>
        </w:numPr>
        <w:rPr>
          <w:rFonts w:ascii="Arial" w:cs="Arial" w:eastAsia="Arial" w:hAnsi="Arial"/>
          <w:sz w:val="19"/>
          <w:szCs w:val="19"/>
          <w:color w:val="auto"/>
        </w:rPr>
      </w:pPr>
      <w:r>
        <w:rPr>
          <w:rFonts w:ascii="Arial" w:cs="Arial" w:eastAsia="Arial" w:hAnsi="Arial"/>
          <w:sz w:val="19"/>
          <w:szCs w:val="19"/>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577" w:right="259" w:bottom="1440" w:gutter="0" w:footer="0" w:header="0"/>
        </w:sectPr>
      </w:pPr>
    </w:p>
    <w:bookmarkStart w:id="107" w:name="page108"/>
    <w:bookmarkEnd w:id="107"/>
    <w:p>
      <w:pPr>
        <w:ind w:right="360"/>
        <w:spacing w:after="0" w:line="232" w:lineRule="auto"/>
        <w:rPr>
          <w:sz w:val="20"/>
          <w:szCs w:val="20"/>
          <w:color w:val="auto"/>
        </w:rPr>
      </w:pPr>
      <w:r>
        <w:rPr>
          <w:rFonts w:ascii="Arial" w:cs="Arial" w:eastAsia="Arial" w:hAnsi="Arial"/>
          <w:sz w:val="22"/>
          <w:szCs w:val="22"/>
          <w:color w:val="auto"/>
        </w:rPr>
        <w:t>applications, patent applications, declarations, oaths, assignments of priority rights, and powers of attorney which the Company may deem necessary or desirable in order to protect such rights and interests.</w:t>
      </w:r>
    </w:p>
    <w:p>
      <w:pPr>
        <w:spacing w:after="0" w:line="200" w:lineRule="exact"/>
        <w:rPr>
          <w:sz w:val="20"/>
          <w:szCs w:val="20"/>
          <w:color w:val="auto"/>
        </w:rPr>
      </w:pPr>
    </w:p>
    <w:p>
      <w:pPr>
        <w:ind w:right="40" w:firstLine="1305"/>
        <w:spacing w:after="0" w:line="218" w:lineRule="auto"/>
        <w:tabs>
          <w:tab w:leader="none" w:pos="2197"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7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202" w:lineRule="exact"/>
        <w:rPr>
          <w:sz w:val="20"/>
          <w:szCs w:val="20"/>
          <w:color w:val="auto"/>
        </w:rPr>
      </w:pPr>
    </w:p>
    <w:p>
      <w:pPr>
        <w:ind w:firstLine="1305"/>
        <w:spacing w:after="0"/>
        <w:tabs>
          <w:tab w:leader="none" w:pos="2107"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Grantee breaches any of the provisions of Section 7 of this Agreement, including without limitation, following the termination of the 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8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2120" w:hanging="815"/>
        <w:spacing w:after="0"/>
        <w:tabs>
          <w:tab w:leader="none" w:pos="21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47" w:lineRule="exact"/>
        <w:rPr>
          <w:sz w:val="20"/>
          <w:szCs w:val="20"/>
          <w:color w:val="auto"/>
        </w:rPr>
      </w:pPr>
    </w:p>
    <w:p>
      <w:pPr>
        <w:ind w:right="180" w:firstLine="1305"/>
        <w:spacing w:after="0" w:line="263" w:lineRule="auto"/>
        <w:tabs>
          <w:tab w:leader="none" w:pos="1752" w:val="left"/>
        </w:tabs>
        <w:numPr>
          <w:ilvl w:val="0"/>
          <w:numId w:val="88"/>
        </w:numPr>
        <w:rPr>
          <w:rFonts w:ascii="Arial" w:cs="Arial" w:eastAsia="Arial" w:hAnsi="Arial"/>
          <w:sz w:val="21"/>
          <w:szCs w:val="21"/>
          <w:color w:val="auto"/>
        </w:rPr>
      </w:pPr>
      <w:r>
        <w:rPr>
          <w:rFonts w:ascii="Arial" w:cs="Arial" w:eastAsia="Arial" w:hAnsi="Arial"/>
          <w:sz w:val="21"/>
          <w:szCs w:val="21"/>
          <w:color w:val="auto"/>
        </w:rPr>
        <w:t>Grantee’s Employment may be terminated at any time by the Company or, if different, any subsidiary or Affiliate of the Company that is the Grantee’s employer (the “</w:t>
      </w:r>
      <w:r>
        <w:rPr>
          <w:rFonts w:ascii="Arial" w:cs="Arial" w:eastAsia="Arial" w:hAnsi="Arial"/>
          <w:sz w:val="21"/>
          <w:szCs w:val="21"/>
          <w:u w:val="single" w:color="auto"/>
          <w:color w:val="auto"/>
        </w:rPr>
        <w:t>Grantee’s employer</w:t>
      </w:r>
      <w:r>
        <w:rPr>
          <w:rFonts w:ascii="Arial" w:cs="Arial" w:eastAsia="Arial" w:hAnsi="Arial"/>
          <w:sz w:val="21"/>
          <w:szCs w:val="21"/>
          <w:color w:val="auto"/>
        </w:rPr>
        <w:t xml:space="preserve">”), or by the Grantee; </w:t>
      </w:r>
      <w:r>
        <w:rPr>
          <w:rFonts w:ascii="Arial" w:cs="Arial" w:eastAsia="Arial" w:hAnsi="Arial"/>
          <w:sz w:val="21"/>
          <w:szCs w:val="21"/>
          <w:u w:val="single" w:color="auto"/>
          <w:color w:val="auto"/>
        </w:rPr>
        <w:t>provided that</w:t>
      </w:r>
      <w:r>
        <w:rPr>
          <w:rFonts w:ascii="Arial" w:cs="Arial" w:eastAsia="Arial" w:hAnsi="Arial"/>
          <w:sz w:val="21"/>
          <w:szCs w:val="21"/>
          <w:color w:val="auto"/>
        </w:rPr>
        <w:t>, the Grantee (but not the Company or, if different, the Grantee’s employer) shall be required to provide at least six (6) months advance written notice of such termination. For the avoidance of doubt, for purposes of Section 7 of this Agreement, termination of Employment shall be deemed to occur upon delivery of notice of termination by the Grantee.</w:t>
      </w:r>
    </w:p>
    <w:p>
      <w:pPr>
        <w:spacing w:after="0" w:line="175" w:lineRule="exact"/>
        <w:rPr>
          <w:rFonts w:ascii="Arial" w:cs="Arial" w:eastAsia="Arial" w:hAnsi="Arial"/>
          <w:sz w:val="21"/>
          <w:szCs w:val="21"/>
          <w:color w:val="auto"/>
        </w:rPr>
      </w:pPr>
    </w:p>
    <w:p>
      <w:pPr>
        <w:ind w:right="20" w:firstLine="1305"/>
        <w:spacing w:after="0" w:line="253" w:lineRule="auto"/>
        <w:tabs>
          <w:tab w:leader="none" w:pos="1761"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77" w:right="259" w:bottom="1440" w:gutter="0" w:footer="0" w:header="0"/>
        </w:sectPr>
      </w:pPr>
    </w:p>
    <w:bookmarkStart w:id="108" w:name="page109"/>
    <w:bookmarkEnd w:id="108"/>
    <w:p>
      <w:pPr>
        <w:ind w:right="140"/>
        <w:spacing w:after="0" w:line="265" w:lineRule="auto"/>
        <w:rPr>
          <w:sz w:val="20"/>
          <w:szCs w:val="20"/>
          <w:color w:val="auto"/>
        </w:rPr>
      </w:pPr>
      <w:r>
        <w:rPr>
          <w:rFonts w:ascii="Arial" w:cs="Arial" w:eastAsia="Arial" w:hAnsi="Arial"/>
          <w:sz w:val="21"/>
          <w:szCs w:val="21"/>
          <w:color w:val="auto"/>
        </w:rPr>
        <w:t>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pacing w:after="0" w:line="176" w:lineRule="exact"/>
        <w:rPr>
          <w:sz w:val="20"/>
          <w:szCs w:val="20"/>
          <w:color w:val="auto"/>
        </w:rPr>
      </w:pPr>
    </w:p>
    <w:p>
      <w:pPr>
        <w:jc w:val="both"/>
        <w:ind w:right="20" w:firstLine="1305"/>
        <w:spacing w:after="0" w:line="250" w:lineRule="auto"/>
        <w:tabs>
          <w:tab w:leader="none" w:pos="1752"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9 and clauses (a) and (b) of this Section 9 shall not be taken to amend the related terms of such employment agreement.</w:t>
      </w:r>
    </w:p>
    <w:p>
      <w:pPr>
        <w:spacing w:after="0" w:line="188" w:lineRule="exact"/>
        <w:rPr>
          <w:rFonts w:ascii="Arial" w:cs="Arial" w:eastAsia="Arial" w:hAnsi="Arial"/>
          <w:sz w:val="22"/>
          <w:szCs w:val="22"/>
          <w:color w:val="auto"/>
        </w:rPr>
      </w:pPr>
    </w:p>
    <w:p>
      <w:pPr>
        <w:ind w:right="140" w:firstLine="1305"/>
        <w:spacing w:after="0" w:line="312" w:lineRule="auto"/>
        <w:tabs>
          <w:tab w:leader="none" w:pos="1765"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07" w:lineRule="exact"/>
        <w:rPr>
          <w:sz w:val="20"/>
          <w:szCs w:val="20"/>
          <w:color w:val="auto"/>
        </w:rPr>
      </w:pPr>
    </w:p>
    <w:p>
      <w:pPr>
        <w:ind w:firstLine="1305"/>
        <w:spacing w:after="0" w:line="234" w:lineRule="auto"/>
        <w:tabs>
          <w:tab w:leader="none" w:pos="2215"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In exchange for the consideration herein, the Grantee agrees that he/she will not make any disparaging, derogatory, damaging, and/or critical statements concerning the Company or any subsidiaries or any of their respective affiliates, partners, officers, directors, employees, services, products and/or activities.</w:t>
      </w:r>
    </w:p>
    <w:p>
      <w:pPr>
        <w:spacing w:after="0" w:line="198" w:lineRule="exact"/>
        <w:rPr>
          <w:rFonts w:ascii="Arial" w:cs="Arial" w:eastAsia="Arial" w:hAnsi="Arial"/>
          <w:sz w:val="21"/>
          <w:szCs w:val="21"/>
          <w:color w:val="auto"/>
        </w:rPr>
      </w:pPr>
    </w:p>
    <w:p>
      <w:pPr>
        <w:ind w:left="2220" w:hanging="915"/>
        <w:spacing w:after="0"/>
        <w:tabs>
          <w:tab w:leader="none" w:pos="222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47" w:lineRule="exact"/>
        <w:rPr>
          <w:sz w:val="20"/>
          <w:szCs w:val="20"/>
          <w:color w:val="auto"/>
        </w:rPr>
      </w:pPr>
    </w:p>
    <w:p>
      <w:pPr>
        <w:ind w:firstLine="1305"/>
        <w:spacing w:after="0" w:line="265" w:lineRule="auto"/>
        <w:tabs>
          <w:tab w:leader="none" w:pos="1749"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75" w:lineRule="exact"/>
        <w:rPr>
          <w:rFonts w:ascii="Arial" w:cs="Arial" w:eastAsia="Arial" w:hAnsi="Arial"/>
          <w:sz w:val="21"/>
          <w:szCs w:val="21"/>
          <w:color w:val="auto"/>
        </w:rPr>
      </w:pPr>
    </w:p>
    <w:p>
      <w:pPr>
        <w:ind w:right="160" w:firstLine="1305"/>
        <w:spacing w:after="0" w:line="250" w:lineRule="auto"/>
        <w:tabs>
          <w:tab w:leader="none" w:pos="176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7, 8, 9, 12, 13 and 14 of this Agreement. This right is subject to (i) the rights of the parties hereto to rescind or vary this Agreement without the consent of any such subsidiary or Affiliate and (ii) the other terms and conditions of this Agreement and the Plan.</w:t>
      </w:r>
    </w:p>
    <w:p>
      <w:pPr>
        <w:spacing w:after="0" w:line="161" w:lineRule="exact"/>
        <w:rPr>
          <w:sz w:val="20"/>
          <w:szCs w:val="20"/>
          <w:color w:val="auto"/>
        </w:rPr>
      </w:pPr>
    </w:p>
    <w:p>
      <w:pPr>
        <w:ind w:firstLine="1305"/>
        <w:spacing w:after="0" w:line="249" w:lineRule="auto"/>
        <w:tabs>
          <w:tab w:leader="none" w:pos="221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3" w:lineRule="exact"/>
        <w:rPr>
          <w:rFonts w:ascii="Arial" w:cs="Arial" w:eastAsia="Arial" w:hAnsi="Arial"/>
          <w:sz w:val="19"/>
          <w:szCs w:val="19"/>
          <w:color w:val="auto"/>
        </w:rPr>
      </w:pPr>
    </w:p>
    <w:p>
      <w:pPr>
        <w:ind w:right="40" w:firstLine="1305"/>
        <w:spacing w:after="0" w:line="216" w:lineRule="auto"/>
        <w:tabs>
          <w:tab w:leader="none" w:pos="2215"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 To the extent permitted by law, the Company, the Grantee’s employer or their agents shall have the right to withhold or deduct from any distributions (including any Shares acquired or otherwise deliverable and the payment of other amounts with respect to the Units) or payments to the Grantee the amount of all taxes, at a rate up to the maximum applicable withholding rate, and any social security contributions, required to be withheld or deducted by federal, state or local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04" w:right="259" w:bottom="1440" w:gutter="0" w:footer="0" w:header="0"/>
        </w:sectPr>
      </w:pPr>
    </w:p>
    <w:bookmarkStart w:id="109" w:name="page110"/>
    <w:bookmarkEnd w:id="109"/>
    <w:p>
      <w:pPr>
        <w:ind w:right="80"/>
        <w:spacing w:after="0" w:line="221" w:lineRule="auto"/>
        <w:rPr>
          <w:sz w:val="20"/>
          <w:szCs w:val="20"/>
          <w:color w:val="auto"/>
        </w:rPr>
      </w:pPr>
      <w:r>
        <w:rPr>
          <w:rFonts w:ascii="Arial" w:cs="Arial" w:eastAsia="Arial" w:hAnsi="Arial"/>
          <w:sz w:val="21"/>
          <w:szCs w:val="21"/>
          <w:color w:val="auto"/>
        </w:rPr>
        <w:t>governments, in either case, as determined by the Company (or the Grantee’s employer, if different) in its discretion.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 payment hereunder) the applicable tax withholding obligation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200" w:lineRule="exact"/>
        <w:rPr>
          <w:sz w:val="20"/>
          <w:szCs w:val="20"/>
          <w:color w:val="auto"/>
        </w:rPr>
      </w:pPr>
    </w:p>
    <w:p>
      <w:pPr>
        <w:ind w:left="2220" w:hanging="915"/>
        <w:spacing w:after="0"/>
        <w:tabs>
          <w:tab w:leader="none" w:pos="222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left="2200" w:hanging="895"/>
        <w:spacing w:after="0"/>
        <w:tabs>
          <w:tab w:leader="none" w:pos="22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Units are subject to adjustment in accordance with the provisions of Section 7 of the Plan.</w:t>
      </w:r>
    </w:p>
    <w:p>
      <w:pPr>
        <w:spacing w:after="0" w:line="219" w:lineRule="exact"/>
        <w:rPr>
          <w:rFonts w:ascii="Arial" w:cs="Arial" w:eastAsia="Arial" w:hAnsi="Arial"/>
          <w:sz w:val="22"/>
          <w:szCs w:val="22"/>
          <w:color w:val="auto"/>
        </w:rPr>
      </w:pPr>
    </w:p>
    <w:p>
      <w:pPr>
        <w:ind w:right="120" w:firstLine="1305"/>
        <w:spacing w:after="0" w:line="212" w:lineRule="auto"/>
        <w:tabs>
          <w:tab w:leader="none" w:pos="219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shall maintain an account on its books in the name of the Grantee which shall reflect the number of Units awarded to the Grantee and the number of Shares the Grantee is eligible to receive thereunder. The Grantee acknowledges and agrees that the Company (i) may hold all vested Units and all Shares issued and distributed in respect thereof pursuant to this Award on behalf of the Grantee, until such time as the Grantee submits a request for delivery, and (ii) will exercise voting rights and take all other corporate actions for any Shares issued pursuant to this Award for such time as such Shares may be held by the Company on behalf of the Grantee, unless the Grantee provides written notice to the Human Resources Department to the contrary.</w:t>
      </w:r>
    </w:p>
    <w:p>
      <w:pPr>
        <w:spacing w:after="0" w:line="205" w:lineRule="exact"/>
        <w:rPr>
          <w:rFonts w:ascii="Arial" w:cs="Arial" w:eastAsia="Arial" w:hAnsi="Arial"/>
          <w:sz w:val="22"/>
          <w:szCs w:val="22"/>
          <w:color w:val="auto"/>
        </w:rPr>
      </w:pPr>
    </w:p>
    <w:p>
      <w:pPr>
        <w:ind w:right="560" w:firstLine="1305"/>
        <w:spacing w:after="0" w:line="223" w:lineRule="auto"/>
        <w:tabs>
          <w:tab w:leader="none" w:pos="2185"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199" w:lineRule="exact"/>
        <w:rPr>
          <w:rFonts w:ascii="Arial" w:cs="Arial" w:eastAsia="Arial" w:hAnsi="Arial"/>
          <w:sz w:val="22"/>
          <w:szCs w:val="22"/>
          <w:color w:val="auto"/>
        </w:rPr>
      </w:pPr>
    </w:p>
    <w:p>
      <w:pPr>
        <w:ind w:right="40" w:firstLine="1305"/>
        <w:spacing w:after="0" w:line="220" w:lineRule="auto"/>
        <w:tabs>
          <w:tab w:leader="none" w:pos="2197"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203" w:lineRule="exact"/>
        <w:rPr>
          <w:rFonts w:ascii="Arial" w:cs="Arial" w:eastAsia="Arial" w:hAnsi="Arial"/>
          <w:sz w:val="21"/>
          <w:szCs w:val="21"/>
          <w:color w:val="auto"/>
        </w:rPr>
      </w:pPr>
    </w:p>
    <w:p>
      <w:pPr>
        <w:ind w:firstLine="1305"/>
        <w:spacing w:after="0" w:line="216" w:lineRule="auto"/>
        <w:tabs>
          <w:tab w:leader="none" w:pos="218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77" w:right="239" w:bottom="1440" w:gutter="0" w:footer="0" w:header="0"/>
        </w:sectPr>
      </w:pPr>
    </w:p>
    <w:bookmarkStart w:id="110" w:name="page111"/>
    <w:bookmarkEnd w:id="110"/>
    <w:p>
      <w:pPr>
        <w:ind w:right="60"/>
        <w:spacing w:after="0" w:line="232" w:lineRule="auto"/>
        <w:rPr>
          <w:sz w:val="20"/>
          <w:szCs w:val="20"/>
          <w:color w:val="auto"/>
        </w:rPr>
      </w:pPr>
      <w:r>
        <w:rPr>
          <w:rFonts w:ascii="Arial" w:cs="Arial" w:eastAsia="Arial" w:hAnsi="Arial"/>
          <w:sz w:val="22"/>
          <w:szCs w:val="22"/>
          <w:color w:val="auto"/>
        </w:rPr>
        <w:t>the terms of this Section 14(e) and the Grantee’s terms of employment, this Section 14(e) shall take precedence (except as required by applicable legislation).</w:t>
      </w:r>
    </w:p>
    <w:p>
      <w:pPr>
        <w:spacing w:after="0" w:line="200" w:lineRule="exact"/>
        <w:rPr>
          <w:sz w:val="20"/>
          <w:szCs w:val="20"/>
          <w:color w:val="auto"/>
        </w:rPr>
      </w:pPr>
    </w:p>
    <w:p>
      <w:pPr>
        <w:ind w:right="20" w:firstLine="1305"/>
        <w:spacing w:after="0" w:line="234" w:lineRule="auto"/>
        <w:tabs>
          <w:tab w:leader="none" w:pos="2161" w:val="left"/>
        </w:tabs>
        <w:numPr>
          <w:ilvl w:val="0"/>
          <w:numId w:val="95"/>
        </w:numPr>
        <w:rPr>
          <w:rFonts w:ascii="Arial" w:cs="Arial" w:eastAsia="Arial" w:hAnsi="Arial"/>
          <w:sz w:val="21"/>
          <w:szCs w:val="21"/>
          <w:color w:val="auto"/>
        </w:rPr>
      </w:pPr>
      <w:r>
        <w:rPr>
          <w:rFonts w:ascii="Arial" w:cs="Arial" w:eastAsia="Arial" w:hAnsi="Arial"/>
          <w:sz w:val="21"/>
          <w:szCs w:val="21"/>
          <w:color w:val="auto"/>
        </w:rPr>
        <w:t>Pursuant to Section 10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198" w:lineRule="exact"/>
        <w:rPr>
          <w:rFonts w:ascii="Arial" w:cs="Arial" w:eastAsia="Arial" w:hAnsi="Arial"/>
          <w:sz w:val="21"/>
          <w:szCs w:val="21"/>
          <w:color w:val="auto"/>
        </w:rPr>
      </w:pPr>
    </w:p>
    <w:p>
      <w:pPr>
        <w:ind w:firstLine="1305"/>
        <w:spacing w:after="0" w:line="246" w:lineRule="auto"/>
        <w:tabs>
          <w:tab w:leader="none" w:pos="2197"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93" w:lineRule="exact"/>
        <w:rPr>
          <w:rFonts w:ascii="Arial" w:cs="Arial" w:eastAsia="Arial" w:hAnsi="Arial"/>
          <w:sz w:val="19"/>
          <w:szCs w:val="19"/>
          <w:color w:val="auto"/>
        </w:rPr>
      </w:pPr>
    </w:p>
    <w:p>
      <w:pPr>
        <w:ind w:firstLine="1305"/>
        <w:spacing w:after="0" w:line="220" w:lineRule="auto"/>
        <w:tabs>
          <w:tab w:leader="none" w:pos="2197"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7(a)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203" w:lineRule="exact"/>
        <w:rPr>
          <w:rFonts w:ascii="Arial" w:cs="Arial" w:eastAsia="Arial" w:hAnsi="Arial"/>
          <w:sz w:val="21"/>
          <w:szCs w:val="21"/>
          <w:color w:val="auto"/>
        </w:rPr>
      </w:pPr>
    </w:p>
    <w:p>
      <w:pPr>
        <w:jc w:val="both"/>
        <w:ind w:right="220" w:firstLine="1305"/>
        <w:spacing w:after="0" w:line="243" w:lineRule="auto"/>
        <w:tabs>
          <w:tab w:leader="none" w:pos="2149"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7(a), thoroughly, is satisfied that he or she understands it completely, and agrees to be bound by the terms and conditions set forth herein. The Grantee understands that he or she has the right to consult an attorney before signing this Agreement.</w:t>
      </w:r>
    </w:p>
    <w:p>
      <w:pPr>
        <w:spacing w:after="0" w:line="2" w:lineRule="exact"/>
        <w:rPr>
          <w:rFonts w:ascii="Arial" w:cs="Arial" w:eastAsia="Arial" w:hAnsi="Arial"/>
          <w:sz w:val="19"/>
          <w:szCs w:val="19"/>
          <w:color w:val="auto"/>
        </w:rPr>
      </w:pPr>
    </w:p>
    <w:p>
      <w:pPr>
        <w:ind w:right="120"/>
        <w:spacing w:after="0" w:line="224" w:lineRule="auto"/>
        <w:rPr>
          <w:rFonts w:ascii="Arial" w:cs="Arial" w:eastAsia="Arial" w:hAnsi="Arial"/>
          <w:sz w:val="19"/>
          <w:szCs w:val="19"/>
          <w:color w:val="auto"/>
        </w:rPr>
      </w:pPr>
      <w:r>
        <w:rPr>
          <w:rFonts w:ascii="Arial" w:cs="Arial" w:eastAsia="Arial" w:hAnsi="Arial"/>
          <w:sz w:val="22"/>
          <w:szCs w:val="22"/>
          <w:color w:val="auto"/>
        </w:rPr>
        <w:t xml:space="preserve">Notwithstanding anything to the contrary herein, Section 7(a)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98" w:lineRule="exact"/>
        <w:rPr>
          <w:rFonts w:ascii="Arial" w:cs="Arial" w:eastAsia="Arial" w:hAnsi="Arial"/>
          <w:sz w:val="19"/>
          <w:szCs w:val="19"/>
          <w:color w:val="auto"/>
        </w:rPr>
      </w:pPr>
    </w:p>
    <w:p>
      <w:pPr>
        <w:ind w:right="1200" w:firstLine="1305"/>
        <w:spacing w:after="0" w:line="247" w:lineRule="auto"/>
        <w:tabs>
          <w:tab w:leader="none" w:pos="2149" w:val="left"/>
        </w:tabs>
        <w:numPr>
          <w:ilvl w:val="0"/>
          <w:numId w:val="95"/>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this Award shall be, and the Grantee hereby acknowledges that it is, subject to and governed by all the terms and conditions of the Plan.</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577" w:right="279" w:bottom="1440" w:gutter="0" w:footer="0" w:header="0"/>
        </w:sectPr>
      </w:pPr>
    </w:p>
    <w:bookmarkStart w:id="111" w:name="page112"/>
    <w:bookmarkEnd w:id="111"/>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[RSU Award Agreement]</w:t>
      </w:r>
    </w:p>
    <w:p>
      <w:pPr>
        <w:sectPr>
          <w:pgSz w:w="11900" w:h="16838" w:orient="portrait"/>
          <w:cols w:equalWidth="0" w:num="1">
            <w:col w:w="10900"/>
          </w:cols>
          <w:pgMar w:left="240" w:top="861" w:right="75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10.18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PLAN</w:t>
      </w:r>
    </w:p>
    <w:p>
      <w:pPr>
        <w:spacing w:after="0" w:line="242"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 xml:space="preserve">Pursuant to the Affiliated Managers Group, Inc. incentive plan referred to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Plan</w:t>
      </w:r>
      <w:r>
        <w:rPr>
          <w:rFonts w:ascii="Arial" w:cs="Arial" w:eastAsia="Arial" w:hAnsi="Arial"/>
          <w:sz w:val="22"/>
          <w:szCs w:val="22"/>
          <w:color w:val="auto"/>
        </w:rPr>
        <w:t>”), and subject to the terms of 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Affiliated Managers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hereby grants to the grantee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Grantee</w:t>
      </w:r>
      <w:r>
        <w:rPr>
          <w:rFonts w:ascii="Arial" w:cs="Arial" w:eastAsia="Arial" w:hAnsi="Arial"/>
          <w:sz w:val="22"/>
          <w:szCs w:val="22"/>
          <w:color w:val="auto"/>
        </w:rPr>
        <w:t>”) a cash award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in the amount specified on </w:t>
      </w:r>
      <w:r>
        <w:rPr>
          <w:rFonts w:ascii="Arial" w:cs="Arial" w:eastAsia="Arial" w:hAnsi="Arial"/>
          <w:sz w:val="22"/>
          <w:szCs w:val="22"/>
          <w:u w:val="single" w:color="auto"/>
          <w:color w:val="auto"/>
        </w:rPr>
        <w:t>Exhibit A</w:t>
      </w:r>
      <w:r>
        <w:rPr>
          <w:rFonts w:ascii="Arial" w:cs="Arial" w:eastAsia="Arial" w:hAnsi="Arial"/>
          <w:sz w:val="22"/>
          <w:szCs w:val="22"/>
          <w:color w:val="auto"/>
        </w:rPr>
        <w:t>, to be issued and distributed to the Grantee according to the terms set forth herein and in the Plan, and the vesting schedule and performance requirements (if any) set forth herein.</w:t>
      </w:r>
    </w:p>
    <w:p>
      <w:pPr>
        <w:spacing w:after="0" w:line="206" w:lineRule="exact"/>
        <w:rPr>
          <w:sz w:val="20"/>
          <w:szCs w:val="20"/>
          <w:color w:val="auto"/>
        </w:rPr>
      </w:pPr>
    </w:p>
    <w:p>
      <w:pPr>
        <w:ind w:right="120" w:firstLine="1305"/>
        <w:spacing w:after="0" w:line="249" w:lineRule="auto"/>
        <w:tabs>
          <w:tab w:leader="none" w:pos="2107"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Hypothetical Investment</w:t>
      </w:r>
      <w:r>
        <w:rPr>
          <w:rFonts w:ascii="Arial" w:cs="Arial" w:eastAsia="Arial" w:hAnsi="Arial"/>
          <w:sz w:val="19"/>
          <w:szCs w:val="19"/>
          <w:color w:val="auto"/>
        </w:rPr>
        <w:t xml:space="preserve">. Upon the Grantee’s election, the Award will be deemed to be invested in one or more hypothetical investments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option to invest in shares of common stock, par value $0.01 per share, of the Company (such shares, the “</w:t>
      </w:r>
      <w:r>
        <w:rPr>
          <w:rFonts w:ascii="Arial" w:cs="Arial" w:eastAsia="Arial" w:hAnsi="Arial"/>
          <w:sz w:val="19"/>
          <w:szCs w:val="19"/>
          <w:u w:val="single" w:color="auto"/>
          <w:color w:val="auto"/>
        </w:rPr>
        <w:t>Shares</w:t>
      </w:r>
      <w:r>
        <w:rPr>
          <w:rFonts w:ascii="Arial" w:cs="Arial" w:eastAsia="Arial" w:hAnsi="Arial"/>
          <w:sz w:val="19"/>
          <w:szCs w:val="19"/>
          <w:color w:val="auto"/>
        </w:rPr>
        <w:t>,” and such hypothetical investment, “</w:t>
      </w:r>
      <w:r>
        <w:rPr>
          <w:rFonts w:ascii="Arial" w:cs="Arial" w:eastAsia="Arial" w:hAnsi="Arial"/>
          <w:sz w:val="19"/>
          <w:szCs w:val="19"/>
          <w:u w:val="single" w:color="auto"/>
          <w:color w:val="auto"/>
        </w:rPr>
        <w:t>Notional Shares</w:t>
      </w:r>
      <w:r>
        <w:rPr>
          <w:rFonts w:ascii="Arial" w:cs="Arial" w:eastAsia="Arial" w:hAnsi="Arial"/>
          <w:sz w:val="19"/>
          <w:szCs w:val="19"/>
          <w:color w:val="auto"/>
        </w:rPr>
        <w:t>”). The Grantee acknowledges that he or she has a copy of the most recent Annual Report on Form 10-K, as supplemented, of the Company, or has elected not to obtain such information. The Grantee further acknowledges that the hypothetical investment feature of the Award may cause the value which vests under the Award to be lower than the value of the Award on the Grant Date.</w:t>
      </w:r>
    </w:p>
    <w:p>
      <w:pPr>
        <w:spacing w:after="0" w:line="193" w:lineRule="exact"/>
        <w:rPr>
          <w:rFonts w:ascii="Arial" w:cs="Arial" w:eastAsia="Arial" w:hAnsi="Arial"/>
          <w:sz w:val="19"/>
          <w:szCs w:val="19"/>
          <w:color w:val="auto"/>
        </w:rPr>
      </w:pPr>
    </w:p>
    <w:p>
      <w:pPr>
        <w:ind w:left="2120" w:hanging="815"/>
        <w:spacing w:after="0"/>
        <w:tabs>
          <w:tab w:leader="none" w:pos="212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20" w:lineRule="exact"/>
        <w:rPr>
          <w:sz w:val="20"/>
          <w:szCs w:val="20"/>
          <w:color w:val="auto"/>
        </w:rPr>
      </w:pPr>
    </w:p>
    <w:p>
      <w:pPr>
        <w:ind w:right="40" w:firstLine="1305"/>
        <w:spacing w:after="0" w:line="216" w:lineRule="auto"/>
        <w:tabs>
          <w:tab w:leader="none" w:pos="218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the discretion of the Administrator to accelerate the vesting schedule, the Award shall 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2(b) shall apply. For the avoidance of doubt, the vesting of the Award may be accelerated automatically in certain circumstances described herein.</w:t>
      </w:r>
    </w:p>
    <w:p>
      <w:pPr>
        <w:spacing w:after="0" w:line="198" w:lineRule="exact"/>
        <w:rPr>
          <w:rFonts w:ascii="Arial" w:cs="Arial" w:eastAsia="Arial" w:hAnsi="Arial"/>
          <w:sz w:val="22"/>
          <w:szCs w:val="22"/>
          <w:color w:val="auto"/>
        </w:rPr>
      </w:pPr>
    </w:p>
    <w:p>
      <w:pPr>
        <w:ind w:right="220" w:firstLine="1305"/>
        <w:spacing w:after="0" w:line="245" w:lineRule="auto"/>
        <w:tabs>
          <w:tab w:leader="none" w:pos="2197"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Award shall be settled pursuant to Section 6 only if the Award has vested in accordance with Section 2(a) and the Compensation Committee has certified the attainment of the Performance Measure with respect to all or any portion thereof; it being understood that if vesting of the Award is accelerated pursuant to Section 2(c)(y) or 4(a)(ii) hereof, such vested portion of the Award shall remain subject to the attainment of the Performance Measure and such vested portion of the Award shall not be settled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Award (including any portion of the Award that has vested pursuant to Section 2(c)(y) or 4(a)(ii) hereof), this Award shall terminate immediately and be of no further force or effect with respect to the entire Award or such portion thereof, as applicable.</w:t>
      </w:r>
    </w:p>
    <w:p>
      <w:pPr>
        <w:spacing w:after="0" w:line="194" w:lineRule="exact"/>
        <w:rPr>
          <w:rFonts w:ascii="Arial" w:cs="Arial" w:eastAsia="Arial" w:hAnsi="Arial"/>
          <w:sz w:val="19"/>
          <w:szCs w:val="19"/>
          <w:color w:val="auto"/>
        </w:rPr>
      </w:pPr>
    </w:p>
    <w:p>
      <w:pPr>
        <w:ind w:right="440" w:firstLine="1305"/>
        <w:spacing w:after="0" w:line="223" w:lineRule="auto"/>
        <w:tabs>
          <w:tab w:leader="none" w:pos="218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Notwithstanding anything to the contrary herein or in the Plan, in the event of termination of Grantee’s Employment (i) by the Company without Cause or (ii) by the Grantee for Good Reason, in either case occurring within the two-year period following a Change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98" w:right="239" w:bottom="1440" w:gutter="0" w:footer="0" w:header="0"/>
        </w:sectPr>
      </w:pPr>
    </w:p>
    <w:bookmarkStart w:id="113" w:name="page114"/>
    <w:bookmarkEnd w:id="113"/>
    <w:p>
      <w:pPr>
        <w:spacing w:after="0" w:line="244" w:lineRule="auto"/>
        <w:rPr>
          <w:sz w:val="20"/>
          <w:szCs w:val="20"/>
          <w:color w:val="auto"/>
        </w:rPr>
      </w:pPr>
      <w:r>
        <w:rPr>
          <w:rFonts w:ascii="Arial" w:cs="Arial" w:eastAsia="Arial" w:hAnsi="Arial"/>
          <w:sz w:val="19"/>
          <w:szCs w:val="19"/>
          <w:color w:val="auto"/>
        </w:rPr>
        <w:t xml:space="preserve">Control,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it shall only vest pursuant to Section 2(b) if (x) the Compensation Committee has certified that the Performance Measure has been attained on or before the date of termination, and in such case shall be settled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(y) the attainment of the Performance Measure is not yet determinable as of such date, and in such case shall fully vest at the time of such termination but the vested portion of the Award shall remain subject to the attainment of the Performance Measure and such vested portion of the Award shall not be settled unless and until the Compensation Committee has certified that the Performance Measure has been attained (and the Award shall be settled at the time of such certification (if any)).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Award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in whole or in part, as applicable, in accordance with Section 2(b) hereof.)</w:t>
      </w:r>
    </w:p>
    <w:p>
      <w:pPr>
        <w:spacing w:after="0" w:line="196" w:lineRule="exact"/>
        <w:rPr>
          <w:sz w:val="20"/>
          <w:szCs w:val="20"/>
          <w:color w:val="auto"/>
        </w:rPr>
      </w:pPr>
    </w:p>
    <w:p>
      <w:pPr>
        <w:ind w:right="80" w:firstLine="1305"/>
        <w:spacing w:after="0" w:line="223" w:lineRule="auto"/>
        <w:tabs>
          <w:tab w:leader="none" w:pos="2107"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192" w:lineRule="exact"/>
        <w:rPr>
          <w:sz w:val="20"/>
          <w:szCs w:val="20"/>
          <w:color w:val="auto"/>
        </w:rPr>
      </w:pPr>
    </w:p>
    <w:p>
      <w:pPr>
        <w:ind w:left="2200" w:hanging="895"/>
        <w:spacing w:after="0"/>
        <w:tabs>
          <w:tab w:leader="none" w:pos="22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Administrator</w:t>
      </w:r>
      <w:r>
        <w:rPr>
          <w:rFonts w:ascii="Arial" w:cs="Arial" w:eastAsia="Arial" w:hAnsi="Arial"/>
          <w:sz w:val="21"/>
          <w:szCs w:val="21"/>
          <w:color w:val="auto"/>
        </w:rPr>
        <w:t>” shall be defined as the Compensation Committee and, as applicable, any permitted</w:t>
      </w:r>
    </w:p>
    <w:p>
      <w:pPr>
        <w:spacing w:after="0"/>
        <w:rPr>
          <w:rFonts w:ascii="Arial" w:cs="Arial" w:eastAsia="Arial" w:hAnsi="Arial"/>
          <w:sz w:val="21"/>
          <w:szCs w:val="21"/>
          <w:color w:val="auto"/>
        </w:rPr>
      </w:pPr>
      <w:r>
        <w:rPr>
          <w:rFonts w:ascii="Arial" w:cs="Arial" w:eastAsia="Arial" w:hAnsi="Arial"/>
          <w:sz w:val="22"/>
          <w:szCs w:val="22"/>
          <w:color w:val="auto"/>
        </w:rPr>
        <w:t>delegate thereof.</w:t>
      </w:r>
    </w:p>
    <w:p>
      <w:pPr>
        <w:spacing w:after="0" w:line="201" w:lineRule="exact"/>
        <w:rPr>
          <w:rFonts w:ascii="Arial" w:cs="Arial" w:eastAsia="Arial" w:hAnsi="Arial"/>
          <w:sz w:val="21"/>
          <w:szCs w:val="21"/>
          <w:color w:val="auto"/>
        </w:rPr>
      </w:pPr>
    </w:p>
    <w:p>
      <w:pPr>
        <w:ind w:right="120" w:firstLine="1305"/>
        <w:spacing w:after="0" w:line="223" w:lineRule="auto"/>
        <w:tabs>
          <w:tab w:leader="none" w:pos="2197"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shall mean any corporation or other entity that stands in a relationship to the Company that would result in the Company and such corporation or other entity being treated as one employer under Section 414(b) and Section 414(c) of the Code.</w:t>
      </w:r>
    </w:p>
    <w:p>
      <w:pPr>
        <w:spacing w:after="0" w:line="199" w:lineRule="exact"/>
        <w:rPr>
          <w:rFonts w:ascii="Arial" w:cs="Arial" w:eastAsia="Arial" w:hAnsi="Arial"/>
          <w:sz w:val="22"/>
          <w:szCs w:val="22"/>
          <w:color w:val="auto"/>
        </w:rPr>
      </w:pPr>
    </w:p>
    <w:p>
      <w:pPr>
        <w:ind w:left="2200" w:hanging="895"/>
        <w:spacing w:after="0"/>
        <w:tabs>
          <w:tab w:leader="none" w:pos="22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19" w:lineRule="exact"/>
        <w:rPr>
          <w:rFonts w:ascii="Arial" w:cs="Arial" w:eastAsia="Arial" w:hAnsi="Arial"/>
          <w:sz w:val="22"/>
          <w:szCs w:val="22"/>
          <w:color w:val="auto"/>
        </w:rPr>
      </w:pPr>
    </w:p>
    <w:p>
      <w:pPr>
        <w:ind w:right="500" w:firstLine="1953"/>
        <w:spacing w:after="0" w:line="268" w:lineRule="auto"/>
        <w:tabs>
          <w:tab w:leader="none" w:pos="2707"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2" w:lineRule="exact"/>
        <w:rPr>
          <w:rFonts w:ascii="Arial" w:cs="Arial" w:eastAsia="Arial" w:hAnsi="Arial"/>
          <w:sz w:val="19"/>
          <w:szCs w:val="19"/>
          <w:color w:val="auto"/>
        </w:rPr>
      </w:pPr>
    </w:p>
    <w:p>
      <w:pPr>
        <w:ind w:left="2780" w:hanging="827"/>
        <w:spacing w:after="0"/>
        <w:tabs>
          <w:tab w:leader="none" w:pos="278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01" w:lineRule="exact"/>
        <w:rPr>
          <w:rFonts w:ascii="Arial" w:cs="Arial" w:eastAsia="Arial" w:hAnsi="Arial"/>
          <w:sz w:val="19"/>
          <w:szCs w:val="19"/>
          <w:color w:val="auto"/>
        </w:rPr>
      </w:pPr>
    </w:p>
    <w:p>
      <w:pPr>
        <w:ind w:right="320" w:firstLine="1953"/>
        <w:spacing w:after="0" w:line="223" w:lineRule="auto"/>
        <w:tabs>
          <w:tab w:leader="none" w:pos="2827"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199" w:lineRule="exact"/>
        <w:rPr>
          <w:rFonts w:ascii="Arial" w:cs="Arial" w:eastAsia="Arial" w:hAnsi="Arial"/>
          <w:sz w:val="22"/>
          <w:szCs w:val="22"/>
          <w:color w:val="auto"/>
        </w:rPr>
      </w:pPr>
    </w:p>
    <w:p>
      <w:pPr>
        <w:ind w:right="660" w:firstLine="1953"/>
        <w:spacing w:after="0" w:line="234" w:lineRule="auto"/>
        <w:tabs>
          <w:tab w:leader="none" w:pos="2801"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198" w:lineRule="exact"/>
        <w:rPr>
          <w:rFonts w:ascii="Arial" w:cs="Arial" w:eastAsia="Arial" w:hAnsi="Arial"/>
          <w:sz w:val="21"/>
          <w:szCs w:val="21"/>
          <w:color w:val="auto"/>
        </w:rPr>
      </w:pPr>
    </w:p>
    <w:p>
      <w:pPr>
        <w:ind w:right="240" w:firstLine="1953"/>
        <w:spacing w:after="0" w:line="216" w:lineRule="auto"/>
        <w:tabs>
          <w:tab w:leader="none" w:pos="2795" w:val="left"/>
        </w:tabs>
        <w:numPr>
          <w:ilvl w:val="1"/>
          <w:numId w:val="99"/>
        </w:numPr>
        <w:rPr>
          <w:rFonts w:ascii="Arial" w:cs="Arial" w:eastAsia="Arial" w:hAnsi="Arial"/>
          <w:sz w:val="22"/>
          <w:szCs w:val="22"/>
          <w:color w:val="auto"/>
        </w:rPr>
      </w:pPr>
      <w:r>
        <w:rPr>
          <w:rFonts w:ascii="Arial" w:cs="Arial" w:eastAsia="Arial" w:hAnsi="Arial"/>
          <w:sz w:val="22"/>
          <w:szCs w:val="22"/>
          <w:color w:val="auto"/>
        </w:rPr>
        <w:t>for purposes of Section 9(a),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77" w:right="279" w:bottom="1440" w:gutter="0" w:footer="0" w:header="0"/>
        </w:sectPr>
      </w:pPr>
    </w:p>
    <w:bookmarkStart w:id="114" w:name="page115"/>
    <w:bookmarkEnd w:id="114"/>
    <w:p>
      <w:pPr>
        <w:spacing w:after="0" w:line="223" w:lineRule="auto"/>
        <w:rPr>
          <w:sz w:val="20"/>
          <w:szCs w:val="20"/>
          <w:color w:val="auto"/>
        </w:rPr>
      </w:pPr>
      <w:r>
        <w:rPr>
          <w:rFonts w:ascii="Arial" w:cs="Arial" w:eastAsia="Arial" w:hAnsi="Arial"/>
          <w:sz w:val="22"/>
          <w:szCs w:val="22"/>
          <w:color w:val="auto"/>
        </w:rPr>
        <w:t>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227"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 foregoing, if Grantee is party to an employment, severance-benefit, change of control or similar agreement with the Company that contains a definition of “Cause” (or a correlative term), such definition will apply (in the case of such Grantee for purposes of this Agreement) in lieu of Section 3(c)(i)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3(c)(v) of the definition set forth above will always apply for purposes of this Agreement.</w:t>
      </w:r>
    </w:p>
    <w:p>
      <w:pPr>
        <w:spacing w:after="0" w:line="131" w:lineRule="exact"/>
        <w:rPr>
          <w:sz w:val="20"/>
          <w:szCs w:val="20"/>
          <w:color w:val="auto"/>
        </w:rPr>
      </w:pPr>
    </w:p>
    <w:p>
      <w:pPr>
        <w:ind w:right="20" w:firstLine="1305"/>
        <w:spacing w:after="0" w:line="243" w:lineRule="auto"/>
        <w:tabs>
          <w:tab w:leader="none" w:pos="219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shall mean the occurrence of any one of the following two events: (i) any “person,” as such term is used in Sections 13(d) and 14(d) of the Exchange Act (other than the Company, any of its Affiliates, or any trustee, fiduciary or other person or entity holding securities under any employee benefit plan or trust of the Company or any of its Affiliates),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percent or more of the combined voting power of the Company’s then outstanding securities having the right to vote in an election of the Company’s Board of Directors (“</w:t>
      </w:r>
      <w:r>
        <w:rPr>
          <w:rFonts w:ascii="Arial" w:cs="Arial" w:eastAsia="Arial" w:hAnsi="Arial"/>
          <w:sz w:val="19"/>
          <w:szCs w:val="19"/>
          <w:u w:val="single" w:color="auto"/>
          <w:color w:val="auto"/>
        </w:rPr>
        <w:t>Voting Securities</w:t>
      </w:r>
      <w:r>
        <w:rPr>
          <w:rFonts w:ascii="Arial" w:cs="Arial" w:eastAsia="Arial" w:hAnsi="Arial"/>
          <w:sz w:val="19"/>
          <w:szCs w:val="19"/>
          <w:color w:val="auto"/>
        </w:rPr>
        <w:t>”) (in such case other than as a result of an acquisition of securities directly from the Company); or (ii) the consummation of (A) any consolidation or merger of the Company where the stockholders of the Company, immediately prior to the consolidation or merger, would not, immediately after the consolidation or merger, beneficially own (as such term is defined in Rule 13d-3 under the Exchange Act), directly or indirectly, shares representing in the aggregate 50 percent or more of the voting shares of the corporation (or other business entity) issuing cash or securities in the consolidation or merger (or of its ultimate parent, if any), (B) any sale, lease, exchange or other transfer (in one transaction or a series of transactions contemplated or arranged by any party as a single plan) of all or substantially all of the assets of the Company or (C) the liquidation or dissolution of the Company.</w:t>
      </w:r>
    </w:p>
    <w:p>
      <w:pPr>
        <w:spacing w:after="0" w:line="225"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 xml:space="preserve">Notwithstanding the foregoing, a “Change of Control” shall not be deemed to have occurred for purposes of the foregoing subsection (d)(i) solely as the result of an acquisition of securities by the Company which, by reducing the number of shares of Voting Securities outstanding, increases the proportionate number of shares of Voting Securities beneficially owned by any person to 25 percent or more of the combined voting power of all then outstanding Voting Securities; </w:t>
      </w:r>
      <w:r>
        <w:rPr>
          <w:rFonts w:ascii="Arial" w:cs="Arial" w:eastAsia="Arial" w:hAnsi="Arial"/>
          <w:sz w:val="19"/>
          <w:szCs w:val="19"/>
          <w:u w:val="single" w:color="auto"/>
          <w:color w:val="auto"/>
        </w:rPr>
        <w:t>provided that</w:t>
      </w:r>
      <w:r>
        <w:rPr>
          <w:rFonts w:ascii="Arial" w:cs="Arial" w:eastAsia="Arial" w:hAnsi="Arial"/>
          <w:sz w:val="19"/>
          <w:szCs w:val="19"/>
          <w:color w:val="auto"/>
        </w:rPr>
        <w: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“Change of Control” shall be deemed to have occurred for purposes of the foregoing subsection (d)(i).</w:t>
      </w:r>
    </w:p>
    <w:p>
      <w:pPr>
        <w:spacing w:after="0" w:line="124" w:lineRule="exact"/>
        <w:rPr>
          <w:sz w:val="20"/>
          <w:szCs w:val="20"/>
          <w:color w:val="auto"/>
        </w:rPr>
      </w:pPr>
    </w:p>
    <w:p>
      <w:pPr>
        <w:ind w:left="2200" w:hanging="895"/>
        <w:spacing w:after="0"/>
        <w:tabs>
          <w:tab w:leader="none" w:pos="22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02" w:lineRule="exact"/>
        <w:rPr>
          <w:sz w:val="20"/>
          <w:szCs w:val="20"/>
          <w:color w:val="auto"/>
        </w:rPr>
      </w:pPr>
    </w:p>
    <w:p>
      <w:pPr>
        <w:ind w:right="280" w:firstLine="1953"/>
        <w:spacing w:after="0" w:line="232" w:lineRule="auto"/>
        <w:tabs>
          <w:tab w:leader="none" w:pos="270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with respect to each Client, the term “Client” shall also include any Persons who are Affiliates of such Client and, to the extent known by the Grantee to have such connection with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577" w:right="279" w:bottom="1440" w:gutter="0" w:footer="0" w:header="0"/>
        </w:sectPr>
      </w:pPr>
    </w:p>
    <w:bookmarkStart w:id="115" w:name="page116"/>
    <w:bookmarkEnd w:id="115"/>
    <w:p>
      <w:pPr>
        <w:ind w:right="80"/>
        <w:spacing w:after="0" w:line="257" w:lineRule="auto"/>
        <w:rPr>
          <w:sz w:val="20"/>
          <w:szCs w:val="20"/>
          <w:color w:val="auto"/>
        </w:rPr>
      </w:pPr>
      <w:r>
        <w:rPr>
          <w:rFonts w:ascii="Arial" w:cs="Arial" w:eastAsia="Arial" w:hAnsi="Arial"/>
          <w:sz w:val="19"/>
          <w:szCs w:val="19"/>
          <w:color w:val="auto"/>
        </w:rPr>
        <w:t>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85" w:lineRule="exact"/>
        <w:rPr>
          <w:sz w:val="20"/>
          <w:szCs w:val="20"/>
          <w:color w:val="auto"/>
        </w:rPr>
      </w:pPr>
    </w:p>
    <w:p>
      <w:pPr>
        <w:ind w:right="20" w:firstLine="1953"/>
        <w:spacing w:after="0" w:line="247" w:lineRule="auto"/>
        <w:tabs>
          <w:tab w:leader="none" w:pos="276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195" w:lineRule="exact"/>
        <w:rPr>
          <w:rFonts w:ascii="Arial" w:cs="Arial" w:eastAsia="Arial" w:hAnsi="Arial"/>
          <w:sz w:val="19"/>
          <w:szCs w:val="19"/>
          <w:color w:val="auto"/>
        </w:rPr>
      </w:pPr>
    </w:p>
    <w:p>
      <w:pPr>
        <w:ind w:right="120" w:firstLine="1953"/>
        <w:spacing w:after="0" w:line="252" w:lineRule="auto"/>
        <w:tabs>
          <w:tab w:leader="none" w:pos="282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89" w:lineRule="exact"/>
        <w:rPr>
          <w:rFonts w:ascii="Arial" w:cs="Arial" w:eastAsia="Arial" w:hAnsi="Arial"/>
          <w:sz w:val="19"/>
          <w:szCs w:val="19"/>
          <w:color w:val="auto"/>
        </w:rPr>
      </w:pPr>
    </w:p>
    <w:p>
      <w:pPr>
        <w:ind w:right="120" w:firstLine="1953"/>
        <w:spacing w:after="0" w:line="223" w:lineRule="auto"/>
        <w:tabs>
          <w:tab w:leader="none" w:pos="2801" w:val="left"/>
        </w:tabs>
        <w:numPr>
          <w:ilvl w:val="1"/>
          <w:numId w:val="103"/>
        </w:numPr>
        <w:rPr>
          <w:rFonts w:ascii="Arial" w:cs="Arial" w:eastAsia="Arial" w:hAnsi="Arial"/>
          <w:sz w:val="21"/>
          <w:szCs w:val="21"/>
          <w:color w:val="auto"/>
        </w:rPr>
      </w:pPr>
      <w:r>
        <w:rPr>
          <w:rFonts w:ascii="Arial" w:cs="Arial" w:eastAsia="Arial" w:hAnsi="Arial"/>
          <w:sz w:val="21"/>
          <w:szCs w:val="21"/>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1"/>
          <w:szCs w:val="21"/>
          <w:u w:val="single" w:color="auto"/>
          <w:color w:val="auto"/>
        </w:rPr>
        <w:t>provided that</w:t>
      </w:r>
      <w:r>
        <w:rPr>
          <w:rFonts w:ascii="Arial" w:cs="Arial" w:eastAsia="Arial" w:hAnsi="Arial"/>
          <w:sz w:val="21"/>
          <w:szCs w:val="21"/>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and/or its subsidiaries or its Affiliates), a participant therein shall not be deemed a Present Client or Past Client (as applicable) hereunder); and</w:t>
      </w:r>
    </w:p>
    <w:p>
      <w:pPr>
        <w:spacing w:after="0" w:line="198" w:lineRule="exact"/>
        <w:rPr>
          <w:rFonts w:ascii="Arial" w:cs="Arial" w:eastAsia="Arial" w:hAnsi="Arial"/>
          <w:sz w:val="21"/>
          <w:szCs w:val="21"/>
          <w:color w:val="auto"/>
        </w:rPr>
      </w:pPr>
    </w:p>
    <w:p>
      <w:pPr>
        <w:jc w:val="both"/>
        <w:ind w:right="240" w:firstLine="1953"/>
        <w:spacing w:after="0" w:line="268" w:lineRule="auto"/>
        <w:tabs>
          <w:tab w:leader="none" w:pos="274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72" w:lineRule="exact"/>
        <w:rPr>
          <w:rFonts w:ascii="Arial" w:cs="Arial" w:eastAsia="Arial" w:hAnsi="Arial"/>
          <w:sz w:val="19"/>
          <w:szCs w:val="19"/>
          <w:color w:val="auto"/>
        </w:rPr>
      </w:pPr>
    </w:p>
    <w:p>
      <w:pPr>
        <w:ind w:right="160" w:firstLine="1305"/>
        <w:spacing w:after="0" w:line="232" w:lineRule="auto"/>
        <w:tabs>
          <w:tab w:leader="none" w:pos="2161"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shall mean the U.S. Internal Revenue Code of 1986, as from time to time amended and in effect,</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statute as from time to time in effect.</w:t>
      </w:r>
    </w:p>
    <w:p>
      <w:pPr>
        <w:spacing w:after="0" w:line="199" w:lineRule="exact"/>
        <w:rPr>
          <w:rFonts w:ascii="Arial" w:cs="Arial" w:eastAsia="Arial" w:hAnsi="Arial"/>
          <w:sz w:val="22"/>
          <w:szCs w:val="22"/>
          <w:color w:val="auto"/>
        </w:rPr>
      </w:pPr>
    </w:p>
    <w:p>
      <w:pPr>
        <w:jc w:val="both"/>
        <w:ind w:firstLine="1305"/>
        <w:spacing w:after="0" w:line="234" w:lineRule="auto"/>
        <w:tabs>
          <w:tab w:leader="none" w:pos="219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Covered Transaction</w:t>
      </w:r>
      <w:r>
        <w:rPr>
          <w:rFonts w:ascii="Arial" w:cs="Arial" w:eastAsia="Arial" w:hAnsi="Arial"/>
          <w:sz w:val="21"/>
          <w:szCs w:val="21"/>
          <w:color w:val="auto"/>
        </w:rPr>
        <w:t>” shall mean a consolidation or merger or a sale, lease, exchange or other transfer of all or substantially all of the assets of the Company in which outstanding Shares are exchanged for securities, cash or other property of an unrelated corporation (or other business entity) or a liquidation of the Company.</w:t>
      </w:r>
    </w:p>
    <w:p>
      <w:pPr>
        <w:spacing w:after="0" w:line="198" w:lineRule="exact"/>
        <w:rPr>
          <w:rFonts w:ascii="Arial" w:cs="Arial" w:eastAsia="Arial" w:hAnsi="Arial"/>
          <w:sz w:val="21"/>
          <w:szCs w:val="21"/>
          <w:color w:val="auto"/>
        </w:rPr>
      </w:pPr>
    </w:p>
    <w:p>
      <w:pPr>
        <w:ind w:right="140" w:firstLine="1305"/>
        <w:spacing w:after="0" w:line="218" w:lineRule="auto"/>
        <w:tabs>
          <w:tab w:leader="none" w:pos="219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Employment</w:t>
      </w:r>
      <w:r>
        <w:rPr>
          <w:rFonts w:ascii="Arial" w:cs="Arial" w:eastAsia="Arial" w:hAnsi="Arial"/>
          <w:sz w:val="22"/>
          <w:szCs w:val="22"/>
          <w:color w:val="auto"/>
        </w:rPr>
        <w:t>” shall mean the Grantee’s employment or other service relationship with the Company and its Affiliates. Employment will be deemed to continue, unless the Administrator expressly provides otherwise, so long as the Grantee is employed by, or otherwise providing services to, the Company or its Affiliates. If the Grantee’s employment or other service relationship is with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77" w:right="239" w:bottom="1440" w:gutter="0" w:footer="0" w:header="0"/>
        </w:sectPr>
      </w:pPr>
    </w:p>
    <w:bookmarkStart w:id="116" w:name="page117"/>
    <w:bookmarkEnd w:id="116"/>
    <w:p>
      <w:pPr>
        <w:spacing w:after="0" w:line="220" w:lineRule="auto"/>
        <w:rPr>
          <w:sz w:val="20"/>
          <w:szCs w:val="20"/>
          <w:color w:val="auto"/>
        </w:rPr>
      </w:pPr>
      <w:r>
        <w:rPr>
          <w:rFonts w:ascii="Arial" w:cs="Arial" w:eastAsia="Arial" w:hAnsi="Arial"/>
          <w:sz w:val="21"/>
          <w:szCs w:val="21"/>
          <w:color w:val="auto"/>
        </w:rPr>
        <w:t>Affiliate and that entity ceases to be an Affiliate, the Grantee’s Employment will be deemed to have terminated when the entity ceases to be an Affiliate unless the Grantee transfers Employment to the Company or its remaining Affiliates. Notwithstanding the foregoing and the definition of “Affiliate” above, in construing the provisions of this Award relating to the payment of “nonqualified deferred compensation” (subject to Code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all other corporations and trades or businesses, if any, that would be treated as a single “service recipient” with the Company under Section 1.409A(h)(3) of the Treasury Regulations. The Company may, but need not, elect in writing, subject to the applicable limitations under Code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199" w:lineRule="exact"/>
        <w:rPr>
          <w:sz w:val="20"/>
          <w:szCs w:val="20"/>
          <w:color w:val="auto"/>
        </w:rPr>
      </w:pPr>
    </w:p>
    <w:p>
      <w:pPr>
        <w:ind w:left="2160" w:hanging="855"/>
        <w:spacing w:after="0"/>
        <w:tabs>
          <w:tab w:leader="none" w:pos="21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shall mean the Securities Exchange Act of 1934, as amended.</w:t>
      </w:r>
    </w:p>
    <w:p>
      <w:pPr>
        <w:spacing w:after="0" w:line="219" w:lineRule="exact"/>
        <w:rPr>
          <w:rFonts w:ascii="Arial" w:cs="Arial" w:eastAsia="Arial" w:hAnsi="Arial"/>
          <w:sz w:val="22"/>
          <w:szCs w:val="22"/>
          <w:color w:val="auto"/>
        </w:rPr>
      </w:pPr>
    </w:p>
    <w:p>
      <w:pPr>
        <w:ind w:right="120" w:firstLine="1305"/>
        <w:spacing w:after="0" w:line="268" w:lineRule="auto"/>
        <w:tabs>
          <w:tab w:leader="none" w:pos="21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2" w:lineRule="exact"/>
        <w:rPr>
          <w:rFonts w:ascii="Arial" w:cs="Arial" w:eastAsia="Arial" w:hAnsi="Arial"/>
          <w:sz w:val="19"/>
          <w:szCs w:val="19"/>
          <w:color w:val="auto"/>
        </w:rPr>
      </w:pPr>
    </w:p>
    <w:p>
      <w:pPr>
        <w:ind w:right="100" w:firstLine="1305"/>
        <w:spacing w:after="0" w:line="218" w:lineRule="auto"/>
        <w:tabs>
          <w:tab w:leader="none" w:pos="219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01" w:lineRule="exact"/>
        <w:rPr>
          <w:rFonts w:ascii="Arial" w:cs="Arial" w:eastAsia="Arial" w:hAnsi="Arial"/>
          <w:sz w:val="22"/>
          <w:szCs w:val="22"/>
          <w:color w:val="auto"/>
        </w:rPr>
      </w:pPr>
    </w:p>
    <w:p>
      <w:pPr>
        <w:ind w:left="2720" w:hanging="767"/>
        <w:spacing w:after="0"/>
        <w:tabs>
          <w:tab w:leader="none" w:pos="272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54" w:lineRule="exact"/>
        <w:rPr>
          <w:rFonts w:ascii="Arial" w:cs="Arial" w:eastAsia="Arial" w:hAnsi="Arial"/>
          <w:sz w:val="19"/>
          <w:szCs w:val="19"/>
          <w:color w:val="auto"/>
        </w:rPr>
      </w:pPr>
    </w:p>
    <w:p>
      <w:pPr>
        <w:ind w:right="220" w:firstLine="1953"/>
        <w:spacing w:after="0" w:line="232" w:lineRule="auto"/>
        <w:tabs>
          <w:tab w:leader="none" w:pos="2767"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199" w:lineRule="exact"/>
        <w:rPr>
          <w:rFonts w:ascii="Arial" w:cs="Arial" w:eastAsia="Arial" w:hAnsi="Arial"/>
          <w:sz w:val="22"/>
          <w:szCs w:val="22"/>
          <w:color w:val="auto"/>
        </w:rPr>
      </w:pPr>
    </w:p>
    <w:p>
      <w:pPr>
        <w:ind w:right="140" w:firstLine="1953"/>
        <w:spacing w:after="0" w:line="232" w:lineRule="auto"/>
        <w:tabs>
          <w:tab w:leader="none" w:pos="2827"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227"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161" w:lineRule="exact"/>
        <w:rPr>
          <w:sz w:val="20"/>
          <w:szCs w:val="20"/>
          <w:color w:val="auto"/>
        </w:rPr>
      </w:pPr>
    </w:p>
    <w:p>
      <w:pPr>
        <w:ind w:right="120" w:firstLine="1305"/>
        <w:spacing w:after="0" w:line="226" w:lineRule="auto"/>
        <w:tabs>
          <w:tab w:leader="none" w:pos="214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577" w:right="259" w:bottom="1440" w:gutter="0" w:footer="0" w:header="0"/>
        </w:sectPr>
      </w:pPr>
    </w:p>
    <w:bookmarkStart w:id="117" w:name="page118"/>
    <w:bookmarkEnd w:id="117"/>
    <w:p>
      <w:pPr>
        <w:ind w:left="-20" w:firstLine="1305"/>
        <w:spacing w:after="0" w:line="241" w:lineRule="auto"/>
        <w:tabs>
          <w:tab w:leader="none" w:pos="223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xml:space="preserve">”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03" w:lineRule="exact"/>
        <w:rPr>
          <w:rFonts w:ascii="Arial" w:cs="Arial" w:eastAsia="Arial" w:hAnsi="Arial"/>
          <w:sz w:val="19"/>
          <w:szCs w:val="19"/>
          <w:color w:val="auto"/>
        </w:rPr>
      </w:pPr>
    </w:p>
    <w:p>
      <w:pPr>
        <w:ind w:left="-20" w:right="100" w:firstLine="1305"/>
        <w:spacing w:after="0" w:line="223" w:lineRule="auto"/>
        <w:tabs>
          <w:tab w:leader="none" w:pos="217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Criteria</w:t>
      </w:r>
      <w:r>
        <w:rPr>
          <w:rFonts w:ascii="Arial" w:cs="Arial" w:eastAsia="Arial" w:hAnsi="Arial"/>
          <w:sz w:val="22"/>
          <w:szCs w:val="22"/>
          <w:color w:val="auto"/>
        </w:rPr>
        <w:t>” shall mean specified criteria, other than the mere continuation of Employment or the mere passage of time, the satisfaction of which is a condition for the grant, exercisability, vesting or full enjoyment of the Award.</w:t>
      </w:r>
    </w:p>
    <w:p>
      <w:pPr>
        <w:spacing w:after="0" w:line="199" w:lineRule="exact"/>
        <w:rPr>
          <w:rFonts w:ascii="Arial" w:cs="Arial" w:eastAsia="Arial" w:hAnsi="Arial"/>
          <w:sz w:val="22"/>
          <w:szCs w:val="22"/>
          <w:color w:val="auto"/>
        </w:rPr>
      </w:pPr>
    </w:p>
    <w:p>
      <w:pPr>
        <w:ind w:left="-20" w:right="100" w:firstLine="1305"/>
        <w:spacing w:after="0" w:line="232" w:lineRule="auto"/>
        <w:tabs>
          <w:tab w:leader="none" w:pos="217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 for the Performance Period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199" w:lineRule="exact"/>
        <w:rPr>
          <w:rFonts w:ascii="Arial" w:cs="Arial" w:eastAsia="Arial" w:hAnsi="Arial"/>
          <w:sz w:val="22"/>
          <w:szCs w:val="22"/>
          <w:color w:val="auto"/>
        </w:rPr>
      </w:pPr>
    </w:p>
    <w:p>
      <w:pPr>
        <w:ind w:left="2180" w:hanging="895"/>
        <w:spacing w:after="0"/>
        <w:tabs>
          <w:tab w:leader="none" w:pos="21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a period of at least a full fiscal year of the Company.</w:t>
      </w:r>
    </w:p>
    <w:p>
      <w:pPr>
        <w:spacing w:after="0" w:line="219" w:lineRule="exact"/>
        <w:rPr>
          <w:rFonts w:ascii="Arial" w:cs="Arial" w:eastAsia="Arial" w:hAnsi="Arial"/>
          <w:sz w:val="22"/>
          <w:szCs w:val="22"/>
          <w:color w:val="auto"/>
        </w:rPr>
      </w:pPr>
    </w:p>
    <w:p>
      <w:pPr>
        <w:ind w:left="-20" w:right="760" w:firstLine="1305"/>
        <w:spacing w:after="0" w:line="298" w:lineRule="auto"/>
        <w:tabs>
          <w:tab w:leader="none" w:pos="217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6" w:lineRule="exact"/>
        <w:rPr>
          <w:rFonts w:ascii="Arial" w:cs="Arial" w:eastAsia="Arial" w:hAnsi="Arial"/>
          <w:sz w:val="19"/>
          <w:szCs w:val="19"/>
          <w:color w:val="auto"/>
        </w:rPr>
      </w:pPr>
    </w:p>
    <w:p>
      <w:pPr>
        <w:ind w:left="-20" w:right="60" w:firstLine="1305"/>
        <w:spacing w:after="0" w:line="243" w:lineRule="auto"/>
        <w:tabs>
          <w:tab w:leader="none" w:pos="214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60" w:top="577" w:right="239" w:bottom="1440" w:gutter="0" w:footer="0" w:header="0"/>
        </w:sectPr>
      </w:pPr>
    </w:p>
    <w:bookmarkStart w:id="118" w:name="page119"/>
    <w:bookmarkEnd w:id="118"/>
    <w:p>
      <w:pPr>
        <w:ind w:right="20"/>
        <w:spacing w:after="0" w:line="218" w:lineRule="auto"/>
        <w:rPr>
          <w:sz w:val="20"/>
          <w:szCs w:val="20"/>
          <w:color w:val="auto"/>
        </w:rPr>
      </w:pPr>
      <w:r>
        <w:rPr>
          <w:rFonts w:ascii="Arial" w:cs="Arial" w:eastAsia="Arial" w:hAnsi="Arial"/>
          <w:sz w:val="22"/>
          <w:szCs w:val="22"/>
          <w:color w:val="auto"/>
        </w:rPr>
        <w:t>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2" w:lineRule="exact"/>
        <w:rPr>
          <w:sz w:val="20"/>
          <w:szCs w:val="20"/>
          <w:color w:val="auto"/>
        </w:rPr>
      </w:pPr>
    </w:p>
    <w:p>
      <w:pPr>
        <w:ind w:firstLine="1305"/>
        <w:spacing w:after="0" w:line="245" w:lineRule="auto"/>
        <w:tabs>
          <w:tab w:leader="none" w:pos="217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4" w:lineRule="exact"/>
        <w:rPr>
          <w:sz w:val="20"/>
          <w:szCs w:val="20"/>
          <w:color w:val="auto"/>
        </w:rPr>
      </w:pPr>
    </w:p>
    <w:p>
      <w:pPr>
        <w:ind w:right="480" w:firstLine="1305"/>
        <w:spacing w:after="0" w:line="232" w:lineRule="auto"/>
        <w:tabs>
          <w:tab w:leader="none" w:pos="2107"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200" w:lineRule="exact"/>
        <w:rPr>
          <w:sz w:val="20"/>
          <w:szCs w:val="20"/>
          <w:color w:val="auto"/>
        </w:rPr>
      </w:pPr>
    </w:p>
    <w:p>
      <w:pPr>
        <w:jc w:val="both"/>
        <w:ind w:right="140" w:firstLine="1305"/>
        <w:spacing w:after="0" w:line="243" w:lineRule="auto"/>
        <w:tabs>
          <w:tab w:leader="none" w:pos="2185"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Notwithstanding anything to the contrary herein or in the Plan, if the Grantee’s Employment terminates by reason of death or disability,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it shall only vest pursuant to Section 2(b) if</w:t>
      </w:r>
    </w:p>
    <w:p>
      <w:pPr>
        <w:spacing w:after="0" w:line="2" w:lineRule="exact"/>
        <w:rPr>
          <w:rFonts w:ascii="Arial" w:cs="Arial" w:eastAsia="Arial" w:hAnsi="Arial"/>
          <w:sz w:val="19"/>
          <w:szCs w:val="19"/>
          <w:color w:val="auto"/>
        </w:rPr>
      </w:pPr>
    </w:p>
    <w:p>
      <w:pPr>
        <w:ind w:right="40" w:firstLine="8"/>
        <w:spacing w:after="0" w:line="243" w:lineRule="auto"/>
        <w:tabs>
          <w:tab w:leader="none" w:pos="25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Compensation Committee has certified that the Performance Measure has been attained on or before the date of termination, and in such case shall vest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vest at the time of such termination but such vested portion shall remain subject to the attainment of the Performance Measure and shall not be settled unless and until the Compensation Committee has certified that the Performance Measure has been attained (and shall be settled at the time of such certification (if any)).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Award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or any portion thereof, as applicable, in accordance with Section 2(b) hereof.)</w:t>
      </w:r>
    </w:p>
    <w:p>
      <w:pPr>
        <w:spacing w:after="0" w:line="197" w:lineRule="exact"/>
        <w:rPr>
          <w:rFonts w:ascii="Arial" w:cs="Arial" w:eastAsia="Arial" w:hAnsi="Arial"/>
          <w:sz w:val="19"/>
          <w:szCs w:val="19"/>
          <w:color w:val="auto"/>
        </w:rPr>
      </w:pPr>
    </w:p>
    <w:p>
      <w:pPr>
        <w:ind w:right="80" w:firstLine="1305"/>
        <w:spacing w:after="0" w:line="252" w:lineRule="auto"/>
        <w:tabs>
          <w:tab w:leader="none" w:pos="2197"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Grantee’s Employment terminates for any reason other than death or disability or in connection with a Change of Control described in Section 2(c), this Award shall, to the extent not already vested as described herein, terminate immediately and be of no further force or effect; it being understood that this Award shall remain outstanding following the date of any termination with respect to any portion thereof subject to a Performance Measure that has vested (including pursuant to Sections 2(c)(y) or 4(a)(ii) hereof) until the Award is settled or terminated in accordance with Section 2(b).</w:t>
      </w:r>
    </w:p>
    <w:p>
      <w:pPr>
        <w:spacing w:after="0" w:line="217"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577" w:right="279" w:bottom="1440" w:gutter="0" w:footer="0" w:header="0"/>
        </w:sectPr>
      </w:pPr>
    </w:p>
    <w:bookmarkStart w:id="119" w:name="page120"/>
    <w:bookmarkEnd w:id="119"/>
    <w:p>
      <w:pPr>
        <w:ind w:left="2120" w:hanging="815"/>
        <w:spacing w:after="0"/>
        <w:tabs>
          <w:tab w:leader="none" w:pos="21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Effect of Certain Transactions</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45" w:lineRule="auto"/>
        <w:tabs>
          <w:tab w:leader="none" w:pos="2185"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Hypothetical Investments in Notional Shares</w:t>
      </w:r>
      <w:r>
        <w:rPr>
          <w:rFonts w:ascii="Arial" w:cs="Arial" w:eastAsia="Arial" w:hAnsi="Arial"/>
          <w:sz w:val="19"/>
          <w:szCs w:val="19"/>
          <w:i w:val="1"/>
          <w:iCs w:val="1"/>
          <w:color w:val="auto"/>
        </w:rPr>
        <w:t>.</w:t>
      </w:r>
      <w:r>
        <w:rPr>
          <w:rFonts w:ascii="Arial" w:cs="Arial" w:eastAsia="Arial" w:hAnsi="Arial"/>
          <w:sz w:val="19"/>
          <w:szCs w:val="19"/>
          <w:color w:val="auto"/>
        </w:rPr>
        <w:t xml:space="preserve"> If the Grantee has elected a hypothetical investment in Notional Shares, upon a Covered Transaction in which holders of Shares will receive upon consummation a payment (whether cash, non-cash or a combination of the foregoing), then subject to Section 5(b)(iv) below, the Administrator may provide for payment (a “</w:t>
      </w:r>
      <w:r>
        <w:rPr>
          <w:rFonts w:ascii="Arial" w:cs="Arial" w:eastAsia="Arial" w:hAnsi="Arial"/>
          <w:sz w:val="19"/>
          <w:szCs w:val="19"/>
          <w:u w:val="single" w:color="auto"/>
          <w:color w:val="auto"/>
        </w:rPr>
        <w:t>cash-out</w:t>
      </w:r>
      <w:r>
        <w:rPr>
          <w:rFonts w:ascii="Arial" w:cs="Arial" w:eastAsia="Arial" w:hAnsi="Arial"/>
          <w:sz w:val="19"/>
          <w:szCs w:val="19"/>
          <w:color w:val="auto"/>
        </w:rPr>
        <w:t xml:space="preserve">”), with respect to the Award or any portion thereof, equal to the fair market value of one Share (as determined by the Administrator in its reasonable discretion) times the number of Notional Shares subject to the Award or such portion, on such payment terms (which need not be the same as the terms of payment to holders of Shares) and other terms, and subject to such conditions, as the Administrator determines; </w:t>
      </w:r>
      <w:r>
        <w:rPr>
          <w:rFonts w:ascii="Arial" w:cs="Arial" w:eastAsia="Arial" w:hAnsi="Arial"/>
          <w:sz w:val="19"/>
          <w:szCs w:val="19"/>
          <w:u w:val="single" w:color="auto"/>
          <w:color w:val="auto"/>
        </w:rPr>
        <w:t>provided that</w:t>
      </w:r>
      <w:r>
        <w:rPr>
          <w:rFonts w:ascii="Arial" w:cs="Arial" w:eastAsia="Arial" w:hAnsi="Arial"/>
          <w:sz w:val="19"/>
          <w:szCs w:val="19"/>
          <w:color w:val="auto"/>
        </w:rPr>
        <w:t>, the Administrator shall not exercise its discretion under this Section 5(a) with respect to this Award in a manner that would constitute an extension or acceleration of, or other change in, payment terms if such change would be inconsistent with the applicable requirements of Section 409A.</w:t>
      </w:r>
    </w:p>
    <w:p>
      <w:pPr>
        <w:spacing w:after="0" w:line="194" w:lineRule="exact"/>
        <w:rPr>
          <w:rFonts w:ascii="Arial" w:cs="Arial" w:eastAsia="Arial" w:hAnsi="Arial"/>
          <w:sz w:val="19"/>
          <w:szCs w:val="19"/>
          <w:color w:val="auto"/>
        </w:rPr>
      </w:pPr>
    </w:p>
    <w:p>
      <w:pPr>
        <w:ind w:right="1080" w:firstLine="1305"/>
        <w:spacing w:after="0" w:line="232" w:lineRule="auto"/>
        <w:tabs>
          <w:tab w:leader="none" w:pos="219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All Hypothetical Investments</w:t>
      </w:r>
      <w:r>
        <w:rPr>
          <w:rFonts w:ascii="Arial" w:cs="Arial" w:eastAsia="Arial" w:hAnsi="Arial"/>
          <w:sz w:val="22"/>
          <w:szCs w:val="22"/>
          <w:i w:val="1"/>
          <w:iCs w:val="1"/>
          <w:color w:val="auto"/>
        </w:rPr>
        <w:t>.</w:t>
      </w:r>
      <w:r>
        <w:rPr>
          <w:rFonts w:ascii="Arial" w:cs="Arial" w:eastAsia="Arial" w:hAnsi="Arial"/>
          <w:sz w:val="22"/>
          <w:szCs w:val="22"/>
          <w:color w:val="auto"/>
        </w:rPr>
        <w:t xml:space="preserve"> The provisions of this Section 5(b) shall apply regardless of the hypothetical investment elected by the Grantee.</w:t>
      </w:r>
    </w:p>
    <w:p>
      <w:pPr>
        <w:spacing w:after="0" w:line="199" w:lineRule="exact"/>
        <w:rPr>
          <w:rFonts w:ascii="Arial" w:cs="Arial" w:eastAsia="Arial" w:hAnsi="Arial"/>
          <w:sz w:val="22"/>
          <w:szCs w:val="22"/>
          <w:color w:val="auto"/>
        </w:rPr>
      </w:pPr>
    </w:p>
    <w:p>
      <w:pPr>
        <w:jc w:val="both"/>
        <w:ind w:left="660" w:right="20" w:firstLine="1293"/>
        <w:spacing w:after="0" w:line="268" w:lineRule="auto"/>
        <w:tabs>
          <w:tab w:leader="none" w:pos="2719" w:val="left"/>
        </w:tabs>
        <w:numPr>
          <w:ilvl w:val="1"/>
          <w:numId w:val="113"/>
        </w:numPr>
        <w:rPr>
          <w:rFonts w:ascii="Arial" w:cs="Arial" w:eastAsia="Arial" w:hAnsi="Arial"/>
          <w:sz w:val="19"/>
          <w:szCs w:val="19"/>
          <w:color w:val="auto"/>
        </w:rPr>
      </w:pPr>
      <w:r>
        <w:rPr>
          <w:rFonts w:ascii="Arial" w:cs="Arial" w:eastAsia="Arial" w:hAnsi="Arial"/>
          <w:sz w:val="19"/>
          <w:szCs w:val="19"/>
          <w:i w:val="1"/>
          <w:iCs w:val="1"/>
          <w:color w:val="auto"/>
        </w:rPr>
        <w:t xml:space="preserve">Assumption or Substitution. </w:t>
      </w:r>
      <w:r>
        <w:rPr>
          <w:rFonts w:ascii="Arial" w:cs="Arial" w:eastAsia="Arial" w:hAnsi="Arial"/>
          <w:sz w:val="19"/>
          <w:szCs w:val="19"/>
          <w:color w:val="auto"/>
        </w:rPr>
        <w:t>In the event of a Covered Transaction, if the Covered Transaction is one</w:t>
      </w:r>
      <w:r>
        <w:rPr>
          <w:rFonts w:ascii="Arial" w:cs="Arial" w:eastAsia="Arial" w:hAnsi="Arial"/>
          <w:sz w:val="19"/>
          <w:szCs w:val="19"/>
          <w:i w:val="1"/>
          <w:iCs w:val="1"/>
          <w:color w:val="auto"/>
        </w:rPr>
        <w:t xml:space="preserve"> </w:t>
      </w:r>
      <w:r>
        <w:rPr>
          <w:rFonts w:ascii="Arial" w:cs="Arial" w:eastAsia="Arial" w:hAnsi="Arial"/>
          <w:sz w:val="19"/>
          <w:szCs w:val="19"/>
          <w:color w:val="auto"/>
        </w:rPr>
        <w:t>in which there is an acquiring or surviving entity, the Administrator may provide for the assumption of the Award or for the grant of a new award in substitution therefor by the acquiror or survivor or an affiliate of the acquiror or survivor.</w:t>
      </w:r>
    </w:p>
    <w:p>
      <w:pPr>
        <w:spacing w:after="0" w:line="172" w:lineRule="exact"/>
        <w:rPr>
          <w:rFonts w:ascii="Arial" w:cs="Arial" w:eastAsia="Arial" w:hAnsi="Arial"/>
          <w:sz w:val="19"/>
          <w:szCs w:val="19"/>
          <w:color w:val="auto"/>
        </w:rPr>
      </w:pPr>
    </w:p>
    <w:p>
      <w:pPr>
        <w:ind w:firstLine="1953"/>
        <w:spacing w:after="0" w:line="223" w:lineRule="auto"/>
        <w:tabs>
          <w:tab w:leader="none" w:pos="2767" w:val="left"/>
        </w:tabs>
        <w:numPr>
          <w:ilvl w:val="1"/>
          <w:numId w:val="113"/>
        </w:numPr>
        <w:rPr>
          <w:rFonts w:ascii="Arial" w:cs="Arial" w:eastAsia="Arial" w:hAnsi="Arial"/>
          <w:sz w:val="21"/>
          <w:szCs w:val="21"/>
          <w:color w:val="auto"/>
        </w:rPr>
      </w:pPr>
      <w:r>
        <w:rPr>
          <w:rFonts w:ascii="Arial" w:cs="Arial" w:eastAsia="Arial" w:hAnsi="Arial"/>
          <w:sz w:val="21"/>
          <w:szCs w:val="21"/>
          <w:i w:val="1"/>
          <w:iCs w:val="1"/>
          <w:color w:val="auto"/>
        </w:rPr>
        <w:t>Acceleration</w:t>
      </w:r>
      <w:r>
        <w:rPr>
          <w:rFonts w:ascii="Arial" w:cs="Arial" w:eastAsia="Arial" w:hAnsi="Arial"/>
          <w:sz w:val="21"/>
          <w:szCs w:val="21"/>
          <w:color w:val="auto"/>
        </w:rPr>
        <w:t>. If the Covered Transaction (whether or not there is an acquiring or surviving entity) 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one in which there is no assumption, substitution or cash-out, then subject to Section 5(b)(iv) below, this Award will be accelerated and settled, prior to the Covered Transaction; </w:t>
      </w:r>
      <w:r>
        <w:rPr>
          <w:rFonts w:ascii="Arial" w:cs="Arial" w:eastAsia="Arial" w:hAnsi="Arial"/>
          <w:sz w:val="21"/>
          <w:szCs w:val="21"/>
          <w:u w:val="single" w:color="auto"/>
          <w:color w:val="auto"/>
        </w:rPr>
        <w:t>provided that</w:t>
      </w:r>
      <w:r>
        <w:rPr>
          <w:rFonts w:ascii="Arial" w:cs="Arial" w:eastAsia="Arial" w:hAnsi="Arial"/>
          <w:sz w:val="21"/>
          <w:szCs w:val="21"/>
          <w:color w:val="auto"/>
        </w:rPr>
        <w:t>, to the extent acceleration pursuant to this Section 5(b)(ii) would cause the Award to fail to satisfy the requirements of Section 409A (if subject to such requirements), the Award shall not be accelerated and the Administrator in lieu thereof shall take such steps as are necessary to ensure that payment of the Award is made in a medium other than Shares and on terms that as nearly as possible, but taking into account adjustments required or permitted by this Section 5, replicate the prior terms of the Award.</w:t>
      </w:r>
    </w:p>
    <w:p>
      <w:pPr>
        <w:spacing w:after="0" w:line="198" w:lineRule="exact"/>
        <w:rPr>
          <w:rFonts w:ascii="Arial" w:cs="Arial" w:eastAsia="Arial" w:hAnsi="Arial"/>
          <w:sz w:val="21"/>
          <w:szCs w:val="21"/>
          <w:color w:val="auto"/>
        </w:rPr>
      </w:pPr>
    </w:p>
    <w:p>
      <w:pPr>
        <w:ind w:right="320" w:firstLine="1953"/>
        <w:spacing w:after="0" w:line="218" w:lineRule="auto"/>
        <w:tabs>
          <w:tab w:leader="none" w:pos="2827" w:val="left"/>
        </w:tabs>
        <w:numPr>
          <w:ilvl w:val="1"/>
          <w:numId w:val="113"/>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Award Upon Consummation of Covered Transaction. </w:t>
      </w:r>
      <w:r>
        <w:rPr>
          <w:rFonts w:ascii="Arial" w:cs="Arial" w:eastAsia="Arial" w:hAnsi="Arial"/>
          <w:sz w:val="22"/>
          <w:szCs w:val="22"/>
          <w:color w:val="auto"/>
        </w:rPr>
        <w:t>This Award will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upon consummation of the Covered Transaction, unless: (i) the Award is assumed pursuant to Section 5(b)(i) above; or (ii) the Award is converted pursuant to the proviso in Section 5(b)(ii) above into an ongoing right to receive payment in a medium other than Shares.</w:t>
      </w:r>
    </w:p>
    <w:p>
      <w:pPr>
        <w:spacing w:after="0" w:line="201" w:lineRule="exact"/>
        <w:rPr>
          <w:rFonts w:ascii="Arial" w:cs="Arial" w:eastAsia="Arial" w:hAnsi="Arial"/>
          <w:sz w:val="22"/>
          <w:szCs w:val="22"/>
          <w:color w:val="auto"/>
        </w:rPr>
      </w:pPr>
    </w:p>
    <w:p>
      <w:pPr>
        <w:ind w:right="40" w:firstLine="1953"/>
        <w:spacing w:after="0" w:line="214" w:lineRule="auto"/>
        <w:tabs>
          <w:tab w:leader="none" w:pos="2801" w:val="left"/>
        </w:tabs>
        <w:numPr>
          <w:ilvl w:val="1"/>
          <w:numId w:val="113"/>
        </w:numPr>
        <w:rPr>
          <w:rFonts w:ascii="Arial" w:cs="Arial" w:eastAsia="Arial" w:hAnsi="Arial"/>
          <w:sz w:val="22"/>
          <w:szCs w:val="22"/>
          <w:color w:val="auto"/>
        </w:rPr>
      </w:pPr>
      <w:r>
        <w:rPr>
          <w:rFonts w:ascii="Arial" w:cs="Arial" w:eastAsia="Arial" w:hAnsi="Arial"/>
          <w:sz w:val="22"/>
          <w:szCs w:val="22"/>
          <w:i w:val="1"/>
          <w:iCs w:val="1"/>
          <w:color w:val="auto"/>
        </w:rPr>
        <w:t xml:space="preserve">Additional Limitations. </w:t>
      </w:r>
      <w:r>
        <w:rPr>
          <w:rFonts w:ascii="Arial" w:cs="Arial" w:eastAsia="Arial" w:hAnsi="Arial"/>
          <w:sz w:val="22"/>
          <w:szCs w:val="22"/>
          <w:color w:val="auto"/>
        </w:rPr>
        <w:t>Any Shares and any cash or other property delivered pursuant to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5(a) or Section 5(b)(ii) above with respect to the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5(a) above shall not, in and of itself, be treated as the lapsing (or satisfaction) of a performance or other vesting condition.</w:t>
      </w:r>
    </w:p>
    <w:p>
      <w:pPr>
        <w:spacing w:after="0" w:line="199" w:lineRule="exact"/>
        <w:rPr>
          <w:rFonts w:ascii="Arial" w:cs="Arial" w:eastAsia="Arial" w:hAnsi="Arial"/>
          <w:sz w:val="22"/>
          <w:szCs w:val="22"/>
          <w:color w:val="auto"/>
        </w:rPr>
      </w:pPr>
    </w:p>
    <w:p>
      <w:pPr>
        <w:ind w:right="80" w:firstLine="1305"/>
        <w:spacing w:after="0" w:line="232" w:lineRule="auto"/>
        <w:tabs>
          <w:tab w:leader="none" w:pos="218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Changes in and Distributions with Respect to Shares</w:t>
      </w:r>
      <w:r>
        <w:rPr>
          <w:rFonts w:ascii="Arial" w:cs="Arial" w:eastAsia="Arial" w:hAnsi="Arial"/>
          <w:sz w:val="22"/>
          <w:szCs w:val="22"/>
          <w:color w:val="auto"/>
        </w:rPr>
        <w:t>. The provisions of this Section 5(c) shall apply if the Grantee has elected a hypothetical investment in Notional Shares.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77" w:right="239" w:bottom="1440" w:gutter="0" w:footer="0" w:header="0"/>
        </w:sectPr>
      </w:pPr>
    </w:p>
    <w:bookmarkStart w:id="120" w:name="page121"/>
    <w:bookmarkEnd w:id="120"/>
    <w:p>
      <w:pPr>
        <w:jc w:val="both"/>
        <w:ind w:right="180" w:firstLine="1953"/>
        <w:spacing w:after="0" w:line="218" w:lineRule="auto"/>
        <w:tabs>
          <w:tab w:leader="none" w:pos="2707" w:val="left"/>
        </w:tabs>
        <w:numPr>
          <w:ilvl w:val="1"/>
          <w:numId w:val="114"/>
        </w:numPr>
        <w:rPr>
          <w:rFonts w:ascii="Arial" w:cs="Arial" w:eastAsia="Arial" w:hAnsi="Arial"/>
          <w:sz w:val="22"/>
          <w:szCs w:val="22"/>
          <w:color w:val="auto"/>
        </w:rPr>
      </w:pPr>
      <w:r>
        <w:rPr>
          <w:rFonts w:ascii="Arial" w:cs="Arial" w:eastAsia="Arial" w:hAnsi="Arial"/>
          <w:sz w:val="22"/>
          <w:szCs w:val="22"/>
          <w:i w:val="1"/>
          <w:iCs w:val="1"/>
          <w:color w:val="auto"/>
        </w:rPr>
        <w:t>Basic Adjustment Provisions</w:t>
      </w:r>
      <w:r>
        <w:rPr>
          <w:rFonts w:ascii="Arial" w:cs="Arial" w:eastAsia="Arial" w:hAnsi="Arial"/>
          <w:sz w:val="22"/>
          <w:szCs w:val="22"/>
          <w:color w:val="auto"/>
        </w:rPr>
        <w:t>. In the event of a stock dividend, stock split or combination of shares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 reverse stock split), recapitalization or other change in the Company’s capital structure, the Administrator shall make appropriate adjustments to the number and kind of Notional Shares subject to the Award and any other provision of Awards affected by such change.</w:t>
      </w:r>
    </w:p>
    <w:p>
      <w:pPr>
        <w:spacing w:after="0" w:line="201" w:lineRule="exact"/>
        <w:rPr>
          <w:rFonts w:ascii="Arial" w:cs="Arial" w:eastAsia="Arial" w:hAnsi="Arial"/>
          <w:sz w:val="22"/>
          <w:szCs w:val="22"/>
          <w:color w:val="auto"/>
        </w:rPr>
      </w:pPr>
    </w:p>
    <w:p>
      <w:pPr>
        <w:jc w:val="both"/>
        <w:ind w:right="60" w:firstLine="1953"/>
        <w:spacing w:after="0" w:line="229" w:lineRule="auto"/>
        <w:tabs>
          <w:tab w:leader="none" w:pos="2767" w:val="left"/>
        </w:tabs>
        <w:numPr>
          <w:ilvl w:val="1"/>
          <w:numId w:val="114"/>
        </w:numPr>
        <w:rPr>
          <w:rFonts w:ascii="Arial" w:cs="Arial" w:eastAsia="Arial" w:hAnsi="Arial"/>
          <w:sz w:val="21"/>
          <w:szCs w:val="21"/>
          <w:color w:val="auto"/>
        </w:rPr>
      </w:pPr>
      <w:r>
        <w:rPr>
          <w:rFonts w:ascii="Arial" w:cs="Arial" w:eastAsia="Arial" w:hAnsi="Arial"/>
          <w:sz w:val="21"/>
          <w:szCs w:val="21"/>
          <w:i w:val="1"/>
          <w:iCs w:val="1"/>
          <w:color w:val="auto"/>
        </w:rPr>
        <w:t>Certain Other Adjustments</w:t>
      </w:r>
      <w:r>
        <w:rPr>
          <w:rFonts w:ascii="Arial" w:cs="Arial" w:eastAsia="Arial" w:hAnsi="Arial"/>
          <w:sz w:val="21"/>
          <w:szCs w:val="21"/>
          <w:color w:val="auto"/>
        </w:rPr>
        <w:t>. The Administrator may also make adjustments of the type described in</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5(c)(i) above to take into account distributions to stockholders other than those provided for in Section 5(c)(i), or any other event, if the Administrator determines that adjustments are appropriate to avoid distortion in the operation of the Plan and to preserve the value of the Award, having due regard for the requirements of Section 409A.</w:t>
      </w:r>
    </w:p>
    <w:p>
      <w:pPr>
        <w:spacing w:after="0" w:line="199" w:lineRule="exact"/>
        <w:rPr>
          <w:rFonts w:ascii="Arial" w:cs="Arial" w:eastAsia="Arial" w:hAnsi="Arial"/>
          <w:sz w:val="21"/>
          <w:szCs w:val="21"/>
          <w:color w:val="auto"/>
        </w:rPr>
      </w:pPr>
    </w:p>
    <w:p>
      <w:pPr>
        <w:ind w:firstLine="1305"/>
        <w:spacing w:after="0" w:line="244" w:lineRule="auto"/>
        <w:tabs>
          <w:tab w:leader="none" w:pos="2107"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 xml:space="preserve">. If, in accordance with Section 1, the Grantee elects to invest the Award in Notional Shares, any portion of the Award that becomes vested shall be settled by the Company to the Grantee in Shares (subject to Section 5 above) following, if applicable, attainment of any Performance Measures. If, in accordance with Section 1, the Grantee elects to invest the Award in any other hypothetical investment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any portion of the Award that becomes vested shall be settled by the Company to the Grantee in cash (subject to Section 5 above) following, if applicable, attainment of any Performance Measures. Settlement of the Award shall be pursuant to Section 2 hereof, and the vesting schedule and, if applicable, performance requirements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with the issuance and distribution of Shares or payment in cash, as applicable, in settlement of the Award to occur, in all cases, no later than March 15 of the year following the year in which the Award vests, in accordance with the short-term deferral exception under Section 409A and the regulations and guidance thereunder. Notwithstanding anything to the contrary in the Plan, settlement of this Award does not require a request for distribution from the Grantee.</w:t>
      </w:r>
    </w:p>
    <w:p>
      <w:pPr>
        <w:spacing w:after="0" w:line="223" w:lineRule="exact"/>
        <w:rPr>
          <w:sz w:val="20"/>
          <w:szCs w:val="20"/>
          <w:color w:val="auto"/>
        </w:rPr>
      </w:pPr>
    </w:p>
    <w:p>
      <w:pPr>
        <w:ind w:right="520" w:firstLine="1297"/>
        <w:spacing w:after="0" w:line="287" w:lineRule="auto"/>
        <w:rPr>
          <w:sz w:val="20"/>
          <w:szCs w:val="20"/>
          <w:color w:val="auto"/>
        </w:rPr>
      </w:pPr>
      <w:r>
        <w:rPr>
          <w:rFonts w:ascii="Arial" w:cs="Arial" w:eastAsia="Arial" w:hAnsi="Arial"/>
          <w:sz w:val="21"/>
          <w:szCs w:val="21"/>
          <w:color w:val="auto"/>
        </w:rPr>
        <w:t>Any sales of Shares are subject to the Company’s insider trading policy, equity ownership guidelines and other Company policies as may be in effect from time to time or otherwise established by the Administrator.</w:t>
      </w:r>
    </w:p>
    <w:p>
      <w:pPr>
        <w:spacing w:after="0" w:line="125" w:lineRule="exact"/>
        <w:rPr>
          <w:sz w:val="20"/>
          <w:szCs w:val="20"/>
          <w:color w:val="auto"/>
        </w:rPr>
      </w:pPr>
    </w:p>
    <w:p>
      <w:pPr>
        <w:ind w:firstLine="1305"/>
        <w:spacing w:after="0" w:line="245" w:lineRule="auto"/>
        <w:tabs>
          <w:tab w:leader="none" w:pos="210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In the case of a Grantee who has elected a hypothetical investment in Notional Shares, if the Company makes any cash dividends or other cash distributions to the holders of Shares, the Grantee shall have the right to receive payments in lieu thereof in respect of the Notional Shares (“</w:t>
      </w: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such a cash dividend or other cash distribution prior to the settlement or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number of Notional Shares. Such amounts shall be subject to the same vesting, payment (without interest), issuance, distribution, and other terms and conditions applicable to the Award as provided in this Agreement, including, for the avoidance of doubt, the attainment of any Performance Measure, as certified by the Compensation Committee.</w:t>
      </w:r>
    </w:p>
    <w:p>
      <w:pPr>
        <w:spacing w:after="0" w:line="194" w:lineRule="exact"/>
        <w:rPr>
          <w:rFonts w:ascii="Arial" w:cs="Arial" w:eastAsia="Arial" w:hAnsi="Arial"/>
          <w:sz w:val="19"/>
          <w:szCs w:val="19"/>
          <w:color w:val="auto"/>
        </w:rPr>
      </w:pPr>
    </w:p>
    <w:p>
      <w:pPr>
        <w:ind w:right="100" w:firstLine="1305"/>
        <w:spacing w:after="0" w:line="226" w:lineRule="auto"/>
        <w:tabs>
          <w:tab w:leader="none" w:pos="2107"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Stockholder Rights</w:t>
      </w:r>
      <w:r>
        <w:rPr>
          <w:rFonts w:ascii="Arial" w:cs="Arial" w:eastAsia="Arial" w:hAnsi="Arial"/>
          <w:sz w:val="21"/>
          <w:szCs w:val="21"/>
          <w:color w:val="auto"/>
        </w:rPr>
        <w:t>. This Award shall not be interpreted to bestow upon a Grantee, including any Grantee who has elected a hypothetical investment in Notional Shares, any equity interest or ownership in the Company or any subsidiary or Affiliate prior to the dates on which the Company delivers Shares (if any) to the Grantee in settlement of this Award. The Grantee shall have no rights as a shareholder with respect to the Notional Shares, and shall have the rights of a shareholder only as to those Shares, if any, that are actually delivered under this Award.</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577" w:right="259" w:bottom="1440" w:gutter="0" w:footer="0" w:header="0"/>
        </w:sectPr>
      </w:pPr>
    </w:p>
    <w:bookmarkStart w:id="121" w:name="page122"/>
    <w:bookmarkEnd w:id="121"/>
    <w:p>
      <w:pPr>
        <w:ind w:left="2120" w:hanging="815"/>
        <w:spacing w:after="0"/>
        <w:tabs>
          <w:tab w:leader="none" w:pos="21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20" w:lineRule="exact"/>
        <w:rPr>
          <w:sz w:val="20"/>
          <w:szCs w:val="20"/>
          <w:color w:val="auto"/>
        </w:rPr>
      </w:pPr>
    </w:p>
    <w:p>
      <w:pPr>
        <w:ind w:right="40" w:firstLine="1305"/>
        <w:spacing w:after="0" w:line="239" w:lineRule="auto"/>
        <w:tabs>
          <w:tab w:leader="none" w:pos="2185"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In consideration of the Award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w:t>
      </w:r>
    </w:p>
    <w:p>
      <w:pPr>
        <w:spacing w:after="0" w:line="3" w:lineRule="exact"/>
        <w:rPr>
          <w:rFonts w:ascii="Arial" w:cs="Arial" w:eastAsia="Arial" w:hAnsi="Arial"/>
          <w:sz w:val="19"/>
          <w:szCs w:val="19"/>
          <w:color w:val="auto"/>
        </w:rPr>
      </w:pPr>
    </w:p>
    <w:p>
      <w:pPr>
        <w:ind w:right="40" w:firstLine="8"/>
        <w:spacing w:after="0" w:line="251" w:lineRule="auto"/>
        <w:tabs>
          <w:tab w:leader="none" w:pos="35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216"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149" w:lineRule="exact"/>
        <w:rPr>
          <w:sz w:val="20"/>
          <w:szCs w:val="20"/>
          <w:color w:val="auto"/>
        </w:rPr>
      </w:pPr>
    </w:p>
    <w:p>
      <w:pPr>
        <w:ind w:firstLine="1305"/>
        <w:spacing w:after="0" w:line="252" w:lineRule="auto"/>
        <w:tabs>
          <w:tab w:leader="none" w:pos="2197"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189" w:lineRule="exact"/>
        <w:rPr>
          <w:rFonts w:ascii="Arial" w:cs="Arial" w:eastAsia="Arial" w:hAnsi="Arial"/>
          <w:sz w:val="19"/>
          <w:szCs w:val="19"/>
          <w:color w:val="auto"/>
        </w:rPr>
      </w:pPr>
    </w:p>
    <w:p>
      <w:pPr>
        <w:ind w:right="140" w:firstLine="1305"/>
        <w:spacing w:after="0" w:line="243" w:lineRule="auto"/>
        <w:tabs>
          <w:tab w:leader="none" w:pos="218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Sections 9(a) and (b) of this Agreement, the Grantee agrees, for the benefit of the Company and its subsidiaries and Affiliates, that the Grantee shall not, during the term of his or her Employment (or other applicable service relationship) with the Company or any of its subsidiaries or Affiliates and for one</w:t>
      </w:r>
    </w:p>
    <w:p>
      <w:pPr>
        <w:spacing w:after="0" w:line="2" w:lineRule="exact"/>
        <w:rPr>
          <w:rFonts w:ascii="Arial" w:cs="Arial" w:eastAsia="Arial" w:hAnsi="Arial"/>
          <w:sz w:val="19"/>
          <w:szCs w:val="19"/>
          <w:color w:val="auto"/>
        </w:rPr>
      </w:pPr>
    </w:p>
    <w:p>
      <w:pPr>
        <w:ind w:right="500" w:firstLine="8"/>
        <w:spacing w:after="0" w:line="217" w:lineRule="auto"/>
        <w:tabs>
          <w:tab w:leader="none" w:pos="30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pacing w:after="0" w:line="200" w:lineRule="exact"/>
        <w:rPr>
          <w:rFonts w:ascii="Arial" w:cs="Arial" w:eastAsia="Arial" w:hAnsi="Arial"/>
          <w:sz w:val="22"/>
          <w:szCs w:val="22"/>
          <w:color w:val="auto"/>
        </w:rPr>
      </w:pPr>
    </w:p>
    <w:p>
      <w:pPr>
        <w:ind w:right="640" w:firstLine="1953"/>
        <w:spacing w:after="0" w:line="232" w:lineRule="auto"/>
        <w:tabs>
          <w:tab w:leader="none" w:pos="2707" w:val="left"/>
        </w:tabs>
        <w:numPr>
          <w:ilvl w:val="2"/>
          <w:numId w:val="121"/>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199" w:lineRule="exact"/>
        <w:rPr>
          <w:rFonts w:ascii="Arial" w:cs="Arial" w:eastAsia="Arial" w:hAnsi="Arial"/>
          <w:sz w:val="22"/>
          <w:szCs w:val="22"/>
          <w:color w:val="auto"/>
        </w:rPr>
      </w:pPr>
    </w:p>
    <w:p>
      <w:pPr>
        <w:ind w:right="80" w:firstLine="1953"/>
        <w:spacing w:after="0" w:line="223" w:lineRule="auto"/>
        <w:tabs>
          <w:tab w:leader="none" w:pos="2767" w:val="left"/>
        </w:tabs>
        <w:numPr>
          <w:ilvl w:val="2"/>
          <w:numId w:val="121"/>
        </w:numPr>
        <w:rPr>
          <w:rFonts w:ascii="Arial" w:cs="Arial" w:eastAsia="Arial" w:hAnsi="Arial"/>
          <w:sz w:val="22"/>
          <w:szCs w:val="22"/>
          <w:color w:val="auto"/>
        </w:rPr>
      </w:pPr>
      <w:r>
        <w:rPr>
          <w:rFonts w:ascii="Arial" w:cs="Arial" w:eastAsia="Arial" w:hAnsi="Arial"/>
          <w:sz w:val="22"/>
          <w:szCs w:val="22"/>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77" w:right="259" w:bottom="1440" w:gutter="0" w:footer="0" w:header="0"/>
        </w:sectPr>
      </w:pPr>
    </w:p>
    <w:bookmarkStart w:id="122" w:name="page123"/>
    <w:bookmarkEnd w:id="122"/>
    <w:p>
      <w:pPr>
        <w:ind w:right="20"/>
        <w:spacing w:after="0" w:line="223" w:lineRule="auto"/>
        <w:rPr>
          <w:sz w:val="20"/>
          <w:szCs w:val="20"/>
          <w:color w:val="auto"/>
        </w:rPr>
      </w:pPr>
      <w:r>
        <w:rPr>
          <w:rFonts w:ascii="Arial" w:cs="Arial" w:eastAsia="Arial" w:hAnsi="Arial"/>
          <w:sz w:val="22"/>
          <w:szCs w:val="22"/>
          <w:color w:val="auto"/>
        </w:rPr>
        <w:t>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200" w:lineRule="exact"/>
        <w:rPr>
          <w:sz w:val="20"/>
          <w:szCs w:val="20"/>
          <w:color w:val="auto"/>
        </w:rPr>
      </w:pPr>
    </w:p>
    <w:p>
      <w:pPr>
        <w:ind w:right="240" w:firstLine="1953"/>
        <w:spacing w:after="0" w:line="298" w:lineRule="auto"/>
        <w:tabs>
          <w:tab w:leader="none" w:pos="282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6" w:lineRule="exact"/>
        <w:rPr>
          <w:rFonts w:ascii="Arial" w:cs="Arial" w:eastAsia="Arial" w:hAnsi="Arial"/>
          <w:sz w:val="19"/>
          <w:szCs w:val="19"/>
          <w:color w:val="auto"/>
        </w:rPr>
      </w:pPr>
    </w:p>
    <w:p>
      <w:pPr>
        <w:ind w:right="240" w:firstLine="1953"/>
        <w:spacing w:after="0" w:line="232" w:lineRule="auto"/>
        <w:tabs>
          <w:tab w:leader="none" w:pos="280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27"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9(c) shall not be applicable to Clients (including Potential Clients) who are also immediate family members of the Grantee.</w:t>
      </w:r>
    </w:p>
    <w:p>
      <w:pPr>
        <w:spacing w:after="0" w:line="148" w:lineRule="exact"/>
        <w:rPr>
          <w:sz w:val="20"/>
          <w:szCs w:val="20"/>
          <w:color w:val="auto"/>
        </w:rPr>
      </w:pPr>
    </w:p>
    <w:p>
      <w:pPr>
        <w:ind w:right="180" w:firstLine="1305"/>
        <w:spacing w:after="0" w:line="218" w:lineRule="auto"/>
        <w:tabs>
          <w:tab w:leader="none" w:pos="2197"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9(a),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01" w:lineRule="exact"/>
        <w:rPr>
          <w:rFonts w:ascii="Arial" w:cs="Arial" w:eastAsia="Arial" w:hAnsi="Arial"/>
          <w:sz w:val="22"/>
          <w:szCs w:val="22"/>
          <w:color w:val="auto"/>
        </w:rPr>
      </w:pPr>
    </w:p>
    <w:p>
      <w:pPr>
        <w:ind w:firstLine="1305"/>
        <w:spacing w:after="0" w:line="238" w:lineRule="auto"/>
        <w:tabs>
          <w:tab w:leader="none" w:pos="2185"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9(e) shall not (i) apply to any knowledge, information or property which (x) is generally known or available to the public or in the public domain,</w:t>
      </w:r>
    </w:p>
    <w:p>
      <w:pPr>
        <w:spacing w:after="0" w:line="5" w:lineRule="exact"/>
        <w:rPr>
          <w:rFonts w:ascii="Arial" w:cs="Arial" w:eastAsia="Arial" w:hAnsi="Arial"/>
          <w:sz w:val="19"/>
          <w:szCs w:val="19"/>
          <w:color w:val="auto"/>
        </w:rPr>
      </w:pPr>
    </w:p>
    <w:p>
      <w:pPr>
        <w:ind w:left="320" w:hanging="312"/>
        <w:spacing w:after="0"/>
        <w:tabs>
          <w:tab w:leader="none" w:pos="3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has been previously disclosed or made available to the public,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577" w:right="279" w:bottom="1440" w:gutter="0" w:footer="0" w:header="0"/>
        </w:sectPr>
      </w:pPr>
    </w:p>
    <w:bookmarkStart w:id="123" w:name="page124"/>
    <w:bookmarkEnd w:id="123"/>
    <w:p>
      <w:pPr>
        <w:spacing w:after="0" w:line="220" w:lineRule="auto"/>
        <w:rPr>
          <w:sz w:val="20"/>
          <w:szCs w:val="20"/>
          <w:color w:val="auto"/>
        </w:rPr>
      </w:pPr>
      <w:r>
        <w:rPr>
          <w:rFonts w:ascii="Arial" w:cs="Arial" w:eastAsia="Arial" w:hAnsi="Arial"/>
          <w:sz w:val="21"/>
          <w:szCs w:val="21"/>
          <w:color w:val="auto"/>
        </w:rPr>
        <w:t xml:space="preserve">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this immunity from liability, the Grantee may be held liable if he or she accesses trade secrets by unauthorized means.</w:t>
      </w:r>
    </w:p>
    <w:p>
      <w:pPr>
        <w:spacing w:after="0" w:line="204" w:lineRule="exact"/>
        <w:rPr>
          <w:sz w:val="20"/>
          <w:szCs w:val="20"/>
          <w:color w:val="auto"/>
        </w:rPr>
      </w:pPr>
    </w:p>
    <w:p>
      <w:pPr>
        <w:ind w:firstLine="1305"/>
        <w:spacing w:after="0" w:line="242" w:lineRule="auto"/>
        <w:tabs>
          <w:tab w:leader="none" w:pos="216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ind w:right="120" w:firstLine="1305"/>
        <w:spacing w:after="0" w:line="222" w:lineRule="auto"/>
        <w:tabs>
          <w:tab w:leader="none" w:pos="2197" w:val="left"/>
        </w:tabs>
        <w:numPr>
          <w:ilvl w:val="0"/>
          <w:numId w:val="125"/>
        </w:numPr>
        <w:rPr>
          <w:rFonts w:ascii="Arial" w:cs="Arial" w:eastAsia="Arial" w:hAnsi="Arial"/>
          <w:sz w:val="21"/>
          <w:szCs w:val="21"/>
          <w:color w:val="auto"/>
        </w:rPr>
      </w:pPr>
      <w:r>
        <w:rPr>
          <w:rFonts w:ascii="Arial" w:cs="Arial" w:eastAsia="Arial" w:hAnsi="Arial"/>
          <w:sz w:val="21"/>
          <w:szCs w:val="21"/>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198" w:lineRule="exact"/>
        <w:rPr>
          <w:rFonts w:ascii="Arial" w:cs="Arial" w:eastAsia="Arial" w:hAnsi="Arial"/>
          <w:sz w:val="21"/>
          <w:szCs w:val="21"/>
          <w:color w:val="auto"/>
        </w:rPr>
      </w:pPr>
    </w:p>
    <w:p>
      <w:pPr>
        <w:ind w:right="40" w:firstLine="1305"/>
        <w:spacing w:after="0" w:line="218" w:lineRule="auto"/>
        <w:tabs>
          <w:tab w:leader="none" w:pos="219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9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202" w:lineRule="exact"/>
        <w:rPr>
          <w:sz w:val="20"/>
          <w:szCs w:val="20"/>
          <w:color w:val="auto"/>
        </w:rPr>
      </w:pPr>
    </w:p>
    <w:p>
      <w:pPr>
        <w:ind w:right="180" w:firstLine="1305"/>
        <w:spacing w:after="0" w:line="223" w:lineRule="auto"/>
        <w:tabs>
          <w:tab w:leader="none" w:pos="2215"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Remedies Upon Breach</w:t>
      </w:r>
      <w:r>
        <w:rPr>
          <w:rFonts w:ascii="Arial" w:cs="Arial" w:eastAsia="Arial" w:hAnsi="Arial"/>
          <w:sz w:val="22"/>
          <w:szCs w:val="22"/>
          <w:color w:val="auto"/>
        </w:rPr>
        <w:t>. In the event that the Grantee breaches any of the provisions of Section 9 of this Agreement, including, without limitation, following the termination of the Grantee’s Employment, the entire value of the vested Award (as of the date Grantee’s Employment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577" w:right="25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10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00" w:lineRule="exact"/>
        <w:rPr>
          <w:sz w:val="20"/>
          <w:szCs w:val="20"/>
          <w:color w:val="auto"/>
        </w:rPr>
      </w:pPr>
    </w:p>
    <w:p>
      <w:pPr>
        <w:spacing w:after="0" w:line="227" w:lineRule="exact"/>
        <w:rPr>
          <w:sz w:val="20"/>
          <w:szCs w:val="20"/>
          <w:color w:val="auto"/>
        </w:rPr>
      </w:pPr>
    </w:p>
    <w:p>
      <w:pPr>
        <w:ind w:left="2220" w:hanging="915"/>
        <w:spacing w:after="0"/>
        <w:tabs>
          <w:tab w:leader="none" w:pos="222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20" w:lineRule="exact"/>
        <w:rPr>
          <w:sz w:val="20"/>
          <w:szCs w:val="20"/>
          <w:color w:val="auto"/>
        </w:rPr>
      </w:pPr>
    </w:p>
    <w:p>
      <w:pPr>
        <w:jc w:val="both"/>
        <w:ind w:right="180" w:firstLine="1305"/>
        <w:spacing w:after="0" w:line="252" w:lineRule="auto"/>
        <w:tabs>
          <w:tab w:leader="none" w:pos="218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Grantee’s Employment may be terminated at any time by the Company or, if different, any subsidiary or Affiliate of the Company that is the Grantee’s employer (the “</w:t>
      </w:r>
      <w:r>
        <w:rPr>
          <w:rFonts w:ascii="Arial" w:cs="Arial" w:eastAsia="Arial" w:hAnsi="Arial"/>
          <w:sz w:val="19"/>
          <w:szCs w:val="19"/>
          <w:u w:val="single" w:color="auto"/>
          <w:color w:val="auto"/>
        </w:rPr>
        <w:t>Grantee’s employer</w:t>
      </w:r>
      <w:r>
        <w:rPr>
          <w:rFonts w:ascii="Arial" w:cs="Arial" w:eastAsia="Arial" w:hAnsi="Arial"/>
          <w:sz w:val="19"/>
          <w:szCs w:val="19"/>
          <w:color w:val="auto"/>
        </w:rPr>
        <w:t xml:space="preserve">”), or by the Grantee;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Grantee (but not the Company or, if different, the Grantee’s employer) shall be required to provide at least six (6) months advance written notice of such termination. For the avoidance of doubt, for purposes of Section 9 of this Agreement, termination of Employment shall be deemed to occur upon delivery of notice of termination by the Grantee.</w:t>
      </w:r>
    </w:p>
    <w:p>
      <w:pPr>
        <w:spacing w:after="0" w:line="189" w:lineRule="exact"/>
        <w:rPr>
          <w:rFonts w:ascii="Arial" w:cs="Arial" w:eastAsia="Arial" w:hAnsi="Arial"/>
          <w:sz w:val="19"/>
          <w:szCs w:val="19"/>
          <w:color w:val="auto"/>
        </w:rPr>
      </w:pPr>
    </w:p>
    <w:p>
      <w:pPr>
        <w:ind w:right="40" w:firstLine="1305"/>
        <w:spacing w:after="0" w:line="212" w:lineRule="auto"/>
        <w:tabs>
          <w:tab w:leader="none" w:pos="219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pacing w:after="0" w:line="205" w:lineRule="exact"/>
        <w:rPr>
          <w:rFonts w:ascii="Arial" w:cs="Arial" w:eastAsia="Arial" w:hAnsi="Arial"/>
          <w:sz w:val="22"/>
          <w:szCs w:val="22"/>
          <w:color w:val="auto"/>
        </w:rPr>
      </w:pPr>
    </w:p>
    <w:p>
      <w:pPr>
        <w:ind w:right="40" w:firstLine="1305"/>
        <w:spacing w:after="0" w:line="218" w:lineRule="auto"/>
        <w:tabs>
          <w:tab w:leader="none" w:pos="218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11, and clauses (a) and (b) of this Section 11 shall not be taken to amend the related terms of such employment agreement.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577" w:right="259" w:bottom="1440" w:gutter="0" w:footer="0" w:header="0"/>
        </w:sectPr>
      </w:pPr>
    </w:p>
    <w:bookmarkStart w:id="125" w:name="page126"/>
    <w:bookmarkEnd w:id="125"/>
    <w:p>
      <w:pPr>
        <w:ind w:left="-20" w:right="20" w:firstLine="1305"/>
        <w:spacing w:after="0" w:line="268" w:lineRule="auto"/>
        <w:tabs>
          <w:tab w:leader="none" w:pos="217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73" w:lineRule="exact"/>
        <w:rPr>
          <w:sz w:val="20"/>
          <w:szCs w:val="20"/>
          <w:color w:val="auto"/>
        </w:rPr>
      </w:pPr>
    </w:p>
    <w:p>
      <w:pPr>
        <w:ind w:left="-20" w:right="40" w:firstLine="1305"/>
        <w:spacing w:after="0" w:line="268" w:lineRule="auto"/>
        <w:tabs>
          <w:tab w:leader="none" w:pos="219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In exchange for the consideration herein, the Grantee agrees that he or she will not make any disparaging, derogatory, damaging, and/or critical statements concerning the Company or any subsidiaries or any of their respective affiliates, partners, officers, directors, employees, services, products and/or activities.</w:t>
      </w:r>
    </w:p>
    <w:p>
      <w:pPr>
        <w:spacing w:after="0" w:line="172" w:lineRule="exact"/>
        <w:rPr>
          <w:rFonts w:ascii="Arial" w:cs="Arial" w:eastAsia="Arial" w:hAnsi="Arial"/>
          <w:sz w:val="19"/>
          <w:szCs w:val="19"/>
          <w:color w:val="auto"/>
        </w:rPr>
      </w:pPr>
    </w:p>
    <w:p>
      <w:pPr>
        <w:ind w:left="2200" w:hanging="915"/>
        <w:spacing w:after="0"/>
        <w:tabs>
          <w:tab w:leader="none" w:pos="22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20" w:lineRule="exact"/>
        <w:rPr>
          <w:sz w:val="20"/>
          <w:szCs w:val="20"/>
          <w:color w:val="auto"/>
        </w:rPr>
      </w:pPr>
    </w:p>
    <w:p>
      <w:pPr>
        <w:ind w:left="-20" w:firstLine="1305"/>
        <w:spacing w:after="0" w:line="229" w:lineRule="auto"/>
        <w:tabs>
          <w:tab w:leader="none" w:pos="216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99" w:lineRule="exact"/>
        <w:rPr>
          <w:rFonts w:ascii="Arial" w:cs="Arial" w:eastAsia="Arial" w:hAnsi="Arial"/>
          <w:sz w:val="21"/>
          <w:szCs w:val="21"/>
          <w:color w:val="auto"/>
        </w:rPr>
      </w:pPr>
    </w:p>
    <w:p>
      <w:pPr>
        <w:ind w:left="-20" w:right="100" w:firstLine="1305"/>
        <w:spacing w:after="0" w:line="218" w:lineRule="auto"/>
        <w:tabs>
          <w:tab w:leader="none" w:pos="217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9, 10, 11, 12, 14, 15, 16 and 18 of this Agreement. This right is subject to (i) the rights of the parties hereto to rescind or vary this Agreement without the consent of any such subsidiary or Affiliate and (ii) the other terms and conditions of this Agreement and the Plan.</w:t>
      </w:r>
    </w:p>
    <w:p>
      <w:pPr>
        <w:spacing w:after="0" w:line="202" w:lineRule="exact"/>
        <w:rPr>
          <w:sz w:val="20"/>
          <w:szCs w:val="20"/>
          <w:color w:val="auto"/>
        </w:rPr>
      </w:pPr>
    </w:p>
    <w:p>
      <w:pPr>
        <w:ind w:left="-20" w:firstLine="1305"/>
        <w:spacing w:after="0" w:line="249" w:lineRule="auto"/>
        <w:tabs>
          <w:tab w:leader="none" w:pos="219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3" w:lineRule="exact"/>
        <w:rPr>
          <w:rFonts w:ascii="Arial" w:cs="Arial" w:eastAsia="Arial" w:hAnsi="Arial"/>
          <w:sz w:val="19"/>
          <w:szCs w:val="19"/>
          <w:color w:val="auto"/>
        </w:rPr>
      </w:pPr>
    </w:p>
    <w:p>
      <w:pPr>
        <w:ind w:left="-20" w:right="20" w:firstLine="1305"/>
        <w:spacing w:after="0" w:line="242" w:lineRule="auto"/>
        <w:tabs>
          <w:tab w:leader="none" w:pos="219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Certain Tax Matters</w:t>
      </w:r>
      <w:r>
        <w:rPr>
          <w:rFonts w:ascii="Arial" w:cs="Arial" w:eastAsia="Arial" w:hAnsi="Arial"/>
          <w:sz w:val="19"/>
          <w:szCs w:val="19"/>
          <w:color w:val="auto"/>
        </w:rPr>
        <w:t>. To the extent permitted by law, the Company, the Grantee’s employer or their agents shall have the right to withhold or deduct from any distributions (including any Shares acquired or otherwise deliverable and the payment of other amounts with respect to such Shares) or payments to the Grantee the amount of all taxes, at a rate up to the maximum applicable withholding rate, and any social security contributions, required to be withheld or deducted by federal, state or local governments, in either case, as determined by the Company (or the Grantee's employer, if different) in its discretion.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 payment hereunder) the applicable tax withholding obligation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60" w:top="577" w:right="259" w:bottom="1440" w:gutter="0" w:footer="0" w:header="0"/>
        </w:sectPr>
      </w:pPr>
    </w:p>
    <w:bookmarkStart w:id="126" w:name="page127"/>
    <w:bookmarkEnd w:id="126"/>
    <w:p>
      <w:pPr>
        <w:ind w:left="-40" w:right="820" w:firstLine="1305"/>
        <w:spacing w:after="0" w:line="232" w:lineRule="auto"/>
        <w:tabs>
          <w:tab w:leader="none" w:pos="2175"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Pensionable Pay</w:t>
      </w:r>
      <w:r>
        <w:rPr>
          <w:rFonts w:ascii="Arial" w:cs="Arial" w:eastAsia="Arial" w:hAnsi="Arial"/>
          <w:sz w:val="22"/>
          <w:szCs w:val="22"/>
          <w:color w:val="auto"/>
        </w:rPr>
        <w:t>. For Grantees that are non-U.S. employees, the Award shall not form part of the Grantee’s pensionable pay.</w:t>
      </w:r>
    </w:p>
    <w:p>
      <w:pPr>
        <w:spacing w:after="0" w:line="199" w:lineRule="exact"/>
        <w:rPr>
          <w:rFonts w:ascii="Arial" w:cs="Arial" w:eastAsia="Arial" w:hAnsi="Arial"/>
          <w:sz w:val="22"/>
          <w:szCs w:val="22"/>
          <w:color w:val="auto"/>
        </w:rPr>
      </w:pPr>
    </w:p>
    <w:p>
      <w:pPr>
        <w:ind w:left="2180" w:hanging="915"/>
        <w:spacing w:after="0"/>
        <w:tabs>
          <w:tab w:leader="none" w:pos="218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ind w:left="-40" w:right="160" w:firstLine="1305"/>
        <w:spacing w:after="0" w:line="223" w:lineRule="auto"/>
        <w:tabs>
          <w:tab w:leader="none" w:pos="21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This Agreement is intended either to be exempt from or compliant with Section 409A of the Code (including the Treasury Regulations and guidance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and all provisions of this Agreement shall be construed and administered accordingly.</w:t>
      </w:r>
    </w:p>
    <w:p>
      <w:pPr>
        <w:spacing w:after="0" w:line="199" w:lineRule="exact"/>
        <w:rPr>
          <w:rFonts w:ascii="Arial" w:cs="Arial" w:eastAsia="Arial" w:hAnsi="Arial"/>
          <w:sz w:val="22"/>
          <w:szCs w:val="22"/>
          <w:color w:val="auto"/>
        </w:rPr>
      </w:pPr>
    </w:p>
    <w:p>
      <w:pPr>
        <w:ind w:left="-40" w:right="20" w:firstLine="1305"/>
        <w:spacing w:after="0" w:line="214" w:lineRule="auto"/>
        <w:tabs>
          <w:tab w:leader="none" w:pos="215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the Grantee is determined by the Administrator to be a “specified employee” within the meaning of Section 409A at the time of the Grantee’s separation from service, any and all payments, settlements or distributions under this Agreement that constitute nonqualified deferred compensation under Section 409A and that would (but for this provision) be paid, settled or distributed within six (6) months following the date of termination will be delayed until the earlier of (i) the date that is six (6) months and one day following the Grantee’s separation from service, and (ii) the date of the Grantee’s death.</w:t>
      </w:r>
    </w:p>
    <w:p>
      <w:pPr>
        <w:spacing w:after="0" w:line="199" w:lineRule="exact"/>
        <w:rPr>
          <w:rFonts w:ascii="Arial" w:cs="Arial" w:eastAsia="Arial" w:hAnsi="Arial"/>
          <w:sz w:val="22"/>
          <w:szCs w:val="22"/>
          <w:color w:val="auto"/>
        </w:rPr>
      </w:pPr>
    </w:p>
    <w:p>
      <w:pPr>
        <w:ind w:left="-40" w:right="220" w:firstLine="1305"/>
        <w:spacing w:after="0" w:line="223" w:lineRule="auto"/>
        <w:tabs>
          <w:tab w:leader="none" w:pos="214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 no event shall the Company or any of its subsidiaries or Affiliates have any liability relating to the failure or alleged failure of any payment or benefit under this Agreement to comply with, or be exempt from, the requirements of Section 409A.</w:t>
      </w:r>
    </w:p>
    <w:p>
      <w:pPr>
        <w:spacing w:after="0" w:line="200" w:lineRule="exact"/>
        <w:rPr>
          <w:sz w:val="20"/>
          <w:szCs w:val="20"/>
          <w:color w:val="auto"/>
        </w:rPr>
      </w:pPr>
    </w:p>
    <w:p>
      <w:pPr>
        <w:ind w:left="2180" w:hanging="915"/>
        <w:spacing w:after="0"/>
        <w:tabs>
          <w:tab w:leader="none" w:pos="218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left="-40" w:firstLine="1305"/>
        <w:spacing w:after="0" w:line="249" w:lineRule="auto"/>
        <w:tabs>
          <w:tab w:leader="none" w:pos="21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Company shall maintain an account on its books in the name of the Grantee which shall reflect the amount of the Award granted to the Grantee and the number of Notional Shares. The Grantee acknowledges and agrees that the Company (i) may hold any Shares issued and distributed in settlement of this Award on behalf of the Grantee, until such time as the Grantee submits a request for delivery, and (ii) will exercise voting rights and take all other corporate actions for any Shares issued pursuant to this Award for such time as any such Shares may be held by the Company on behalf of the Grantee, unless the Grantee provides written notice to the Human Resources Department to the contrary.</w:t>
      </w:r>
    </w:p>
    <w:p>
      <w:pPr>
        <w:spacing w:after="0" w:line="193" w:lineRule="exact"/>
        <w:rPr>
          <w:rFonts w:ascii="Arial" w:cs="Arial" w:eastAsia="Arial" w:hAnsi="Arial"/>
          <w:sz w:val="19"/>
          <w:szCs w:val="19"/>
          <w:color w:val="auto"/>
        </w:rPr>
      </w:pPr>
    </w:p>
    <w:p>
      <w:pPr>
        <w:ind w:left="-40" w:right="540" w:firstLine="1305"/>
        <w:spacing w:after="0" w:line="223" w:lineRule="auto"/>
        <w:tabs>
          <w:tab w:leader="none" w:pos="215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199" w:lineRule="exact"/>
        <w:rPr>
          <w:rFonts w:ascii="Arial" w:cs="Arial" w:eastAsia="Arial" w:hAnsi="Arial"/>
          <w:sz w:val="22"/>
          <w:szCs w:val="22"/>
          <w:color w:val="auto"/>
        </w:rPr>
      </w:pPr>
    </w:p>
    <w:p>
      <w:pPr>
        <w:ind w:left="-40" w:right="20" w:firstLine="1305"/>
        <w:spacing w:after="0" w:line="220" w:lineRule="auto"/>
        <w:tabs>
          <w:tab w:leader="none" w:pos="2145"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60"/>
          </w:cols>
          <w:pgMar w:left="280" w:top="834" w:right="259" w:bottom="1440" w:gutter="0" w:footer="0" w:header="0"/>
        </w:sectPr>
      </w:pPr>
    </w:p>
    <w:bookmarkStart w:id="127" w:name="page128"/>
    <w:bookmarkEnd w:id="127"/>
    <w:p>
      <w:pPr>
        <w:ind w:firstLine="1305"/>
        <w:spacing w:after="0" w:line="214" w:lineRule="auto"/>
        <w:tabs>
          <w:tab w:leader="none" w:pos="219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 the terms of this Section 18(d) and the Grantee’s terms of employment, this Section 18(d) shall take precedence (except as required by applicable legislation).</w:t>
      </w:r>
    </w:p>
    <w:p>
      <w:pPr>
        <w:spacing w:after="0" w:line="199" w:lineRule="exact"/>
        <w:rPr>
          <w:rFonts w:ascii="Arial" w:cs="Arial" w:eastAsia="Arial" w:hAnsi="Arial"/>
          <w:sz w:val="22"/>
          <w:szCs w:val="22"/>
          <w:color w:val="auto"/>
        </w:rPr>
      </w:pPr>
    </w:p>
    <w:p>
      <w:pPr>
        <w:jc w:val="both"/>
        <w:ind w:firstLine="1305"/>
        <w:spacing w:after="0" w:line="234" w:lineRule="auto"/>
        <w:tabs>
          <w:tab w:leader="none" w:pos="218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Pursuant to the provisions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198" w:lineRule="exact"/>
        <w:rPr>
          <w:rFonts w:ascii="Arial" w:cs="Arial" w:eastAsia="Arial" w:hAnsi="Arial"/>
          <w:sz w:val="21"/>
          <w:szCs w:val="21"/>
          <w:color w:val="auto"/>
        </w:rPr>
      </w:pPr>
    </w:p>
    <w:p>
      <w:pPr>
        <w:ind w:right="40" w:firstLine="1305"/>
        <w:spacing w:after="0" w:line="246" w:lineRule="auto"/>
        <w:tabs>
          <w:tab w:leader="none" w:pos="2161"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93" w:lineRule="exact"/>
        <w:rPr>
          <w:rFonts w:ascii="Arial" w:cs="Arial" w:eastAsia="Arial" w:hAnsi="Arial"/>
          <w:sz w:val="19"/>
          <w:szCs w:val="19"/>
          <w:color w:val="auto"/>
        </w:rPr>
      </w:pPr>
    </w:p>
    <w:p>
      <w:pPr>
        <w:ind w:right="40" w:firstLine="1305"/>
        <w:spacing w:after="0" w:line="220" w:lineRule="auto"/>
        <w:tabs>
          <w:tab w:leader="none" w:pos="219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9(a)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203" w:lineRule="exact"/>
        <w:rPr>
          <w:rFonts w:ascii="Arial" w:cs="Arial" w:eastAsia="Arial" w:hAnsi="Arial"/>
          <w:sz w:val="21"/>
          <w:szCs w:val="21"/>
          <w:color w:val="auto"/>
        </w:rPr>
      </w:pPr>
    </w:p>
    <w:p>
      <w:pPr>
        <w:jc w:val="both"/>
        <w:ind w:right="220" w:firstLine="1305"/>
        <w:spacing w:after="0" w:line="243" w:lineRule="auto"/>
        <w:tabs>
          <w:tab w:leader="none" w:pos="219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9(a), thoroughly, is satisfied that he or she understands it completely, and agrees to be bound by the terms and conditions set forth herein. The Grantee understands that he or she has the right to consult an attorney before signing this Agreement.</w:t>
      </w:r>
    </w:p>
    <w:p>
      <w:pPr>
        <w:spacing w:after="0" w:line="2" w:lineRule="exact"/>
        <w:rPr>
          <w:rFonts w:ascii="Arial" w:cs="Arial" w:eastAsia="Arial" w:hAnsi="Arial"/>
          <w:sz w:val="19"/>
          <w:szCs w:val="19"/>
          <w:color w:val="auto"/>
        </w:rPr>
      </w:pPr>
    </w:p>
    <w:p>
      <w:pPr>
        <w:ind w:right="160"/>
        <w:spacing w:after="0" w:line="224" w:lineRule="auto"/>
        <w:rPr>
          <w:rFonts w:ascii="Arial" w:cs="Arial" w:eastAsia="Arial" w:hAnsi="Arial"/>
          <w:sz w:val="19"/>
          <w:szCs w:val="19"/>
          <w:color w:val="auto"/>
        </w:rPr>
      </w:pPr>
      <w:r>
        <w:rPr>
          <w:rFonts w:ascii="Arial" w:cs="Arial" w:eastAsia="Arial" w:hAnsi="Arial"/>
          <w:sz w:val="22"/>
          <w:szCs w:val="22"/>
          <w:color w:val="auto"/>
        </w:rPr>
        <w:t xml:space="preserve">Notwithstanding anything to the contrary herein, Section 9(a)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198" w:lineRule="exact"/>
        <w:rPr>
          <w:rFonts w:ascii="Arial" w:cs="Arial" w:eastAsia="Arial" w:hAnsi="Arial"/>
          <w:sz w:val="19"/>
          <w:szCs w:val="19"/>
          <w:color w:val="auto"/>
        </w:rPr>
      </w:pPr>
    </w:p>
    <w:p>
      <w:pPr>
        <w:ind w:right="1240" w:firstLine="1305"/>
        <w:spacing w:after="0" w:line="247" w:lineRule="auto"/>
        <w:tabs>
          <w:tab w:leader="none" w:pos="2149"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this Award shall be, and the Grantee hereby acknowledges that it is, subject to and governed by all the terms and conditions of the Plan.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is intentionally left blank]</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77"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 Agreement</w:t>
      </w:r>
      <w:r>
        <w:rPr>
          <w:rFonts w:ascii="Arial" w:cs="Arial" w:eastAsia="Arial" w:hAnsi="Arial"/>
          <w:sz w:val="22"/>
          <w:szCs w:val="22"/>
          <w:color w:val="auto"/>
        </w:rPr>
        <w:t>]</w:t>
      </w:r>
    </w:p>
    <w:p>
      <w:pPr>
        <w:sectPr>
          <w:pgSz w:w="11900" w:h="16838" w:orient="portrait"/>
          <w:cols w:equalWidth="0" w:num="1">
            <w:col w:w="10900"/>
          </w:cols>
          <w:pgMar w:left="240" w:top="1077" w:right="75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296"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Pursuant to the Affiliated Managers Group, Inc. Deferred Compensation Plan, as amended and/or restated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and subject to the terms of 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Affiliated Managers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hereby grants to the grantee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Grantee</w:t>
      </w:r>
      <w:r>
        <w:rPr>
          <w:rFonts w:ascii="Arial" w:cs="Arial" w:eastAsia="Arial" w:hAnsi="Arial"/>
          <w:sz w:val="22"/>
          <w:szCs w:val="22"/>
          <w:color w:val="auto"/>
        </w:rPr>
        <w:t>”) a cash award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in the amount specified on </w:t>
      </w:r>
      <w:r>
        <w:rPr>
          <w:rFonts w:ascii="Arial" w:cs="Arial" w:eastAsia="Arial" w:hAnsi="Arial"/>
          <w:sz w:val="22"/>
          <w:szCs w:val="22"/>
          <w:u w:val="single" w:color="auto"/>
          <w:color w:val="auto"/>
        </w:rPr>
        <w:t>Exhibit A</w:t>
      </w:r>
      <w:r>
        <w:rPr>
          <w:rFonts w:ascii="Arial" w:cs="Arial" w:eastAsia="Arial" w:hAnsi="Arial"/>
          <w:sz w:val="22"/>
          <w:szCs w:val="22"/>
          <w:color w:val="auto"/>
        </w:rPr>
        <w:t>, to be issued and distributed to the Grantee according to the terms set forth herein and in the Plan, and the vesting schedule and performance requirements (if any) set forth herein. This Agreement shall be deemed a Plan Agreement for all purposes of the Plan.</w:t>
      </w:r>
    </w:p>
    <w:p>
      <w:pPr>
        <w:spacing w:after="0" w:line="261" w:lineRule="exact"/>
        <w:rPr>
          <w:sz w:val="20"/>
          <w:szCs w:val="20"/>
          <w:color w:val="auto"/>
        </w:rPr>
      </w:pPr>
    </w:p>
    <w:p>
      <w:pPr>
        <w:ind w:right="100" w:firstLine="1305"/>
        <w:spacing w:after="0" w:line="212" w:lineRule="auto"/>
        <w:tabs>
          <w:tab w:leader="none" w:pos="2107"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Hypothetical Investment</w:t>
      </w:r>
      <w:r>
        <w:rPr>
          <w:rFonts w:ascii="Arial" w:cs="Arial" w:eastAsia="Arial" w:hAnsi="Arial"/>
          <w:sz w:val="22"/>
          <w:szCs w:val="22"/>
          <w:color w:val="auto"/>
        </w:rPr>
        <w:t xml:space="preserve">. Upon the Grantee’s election, the Award will be deemed to be invested in one or more hypothetical investments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including the option to invest in a Stock Unit Fund that will track the performance of shares of common stock, par value $0.01 per share, of the Company (such shares, the “</w:t>
      </w:r>
      <w:r>
        <w:rPr>
          <w:rFonts w:ascii="Arial" w:cs="Arial" w:eastAsia="Arial" w:hAnsi="Arial"/>
          <w:sz w:val="22"/>
          <w:szCs w:val="22"/>
          <w:u w:val="single" w:color="auto"/>
          <w:color w:val="auto"/>
        </w:rPr>
        <w:t>Shares</w:t>
      </w:r>
      <w:r>
        <w:rPr>
          <w:rFonts w:ascii="Arial" w:cs="Arial" w:eastAsia="Arial" w:hAnsi="Arial"/>
          <w:sz w:val="22"/>
          <w:szCs w:val="22"/>
          <w:color w:val="auto"/>
        </w:rPr>
        <w:t>,” and such hypothetical investment, “</w:t>
      </w:r>
      <w:r>
        <w:rPr>
          <w:rFonts w:ascii="Arial" w:cs="Arial" w:eastAsia="Arial" w:hAnsi="Arial"/>
          <w:sz w:val="22"/>
          <w:szCs w:val="22"/>
          <w:u w:val="single" w:color="auto"/>
          <w:color w:val="auto"/>
        </w:rPr>
        <w:t>Stock Units</w:t>
      </w:r>
      <w:r>
        <w:rPr>
          <w:rFonts w:ascii="Arial" w:cs="Arial" w:eastAsia="Arial" w:hAnsi="Arial"/>
          <w:sz w:val="22"/>
          <w:szCs w:val="22"/>
          <w:color w:val="auto"/>
        </w:rPr>
        <w:t>”). The Grantee acknowledges that he or she has a copy of the most recent Annual Report on Form 10-K, as supplemented, of the Company, or has elected not to obtain such information. The Grantee further acknowledges that the hypothetical investment feature of the Award may cause the value which vests under the Award to be lower than the value of the Award on the Grant Date.</w:t>
      </w:r>
    </w:p>
    <w:p>
      <w:pPr>
        <w:spacing w:after="0" w:line="164" w:lineRule="exact"/>
        <w:rPr>
          <w:rFonts w:ascii="Arial" w:cs="Arial" w:eastAsia="Arial" w:hAnsi="Arial"/>
          <w:sz w:val="22"/>
          <w:szCs w:val="22"/>
          <w:color w:val="auto"/>
        </w:rPr>
      </w:pPr>
    </w:p>
    <w:p>
      <w:pPr>
        <w:ind w:left="2120" w:hanging="815"/>
        <w:spacing w:after="0"/>
        <w:tabs>
          <w:tab w:leader="none" w:pos="212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179" w:lineRule="exact"/>
        <w:rPr>
          <w:sz w:val="20"/>
          <w:szCs w:val="20"/>
          <w:color w:val="auto"/>
        </w:rPr>
      </w:pPr>
    </w:p>
    <w:p>
      <w:pPr>
        <w:ind w:right="40" w:firstLine="1305"/>
        <w:spacing w:after="0" w:line="216" w:lineRule="auto"/>
        <w:tabs>
          <w:tab w:leader="none" w:pos="2185"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the discretion of the Administrator to accelerate the vesting schedule, the Award shall 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2(b) shall apply. For the avoidance of doubt, the vesting of the Award may be accelerated automatically in certain circumstances described herein.</w:t>
      </w:r>
    </w:p>
    <w:p>
      <w:pPr>
        <w:spacing w:after="0" w:line="158" w:lineRule="exact"/>
        <w:rPr>
          <w:rFonts w:ascii="Arial" w:cs="Arial" w:eastAsia="Arial" w:hAnsi="Arial"/>
          <w:sz w:val="22"/>
          <w:szCs w:val="22"/>
          <w:color w:val="auto"/>
        </w:rPr>
      </w:pPr>
    </w:p>
    <w:p>
      <w:pPr>
        <w:ind w:right="220" w:firstLine="1305"/>
        <w:spacing w:after="0" w:line="245" w:lineRule="auto"/>
        <w:tabs>
          <w:tab w:leader="none" w:pos="2197"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Award shall be settled pursuant to Section 6 only if the Award has vested in accordance with Section 2(a) and the Compensation Committee has certified the attainment of the Performance Measure with respect to all or any portion thereof; it being understood that if vesting of the Award is accelerated pursuant to Section 2(c)(y) or 4(a)(ii) hereof, such vested portion of the Award shall remain subject to the attainment of the Performance Measure and such vested portion of the Award shall not be settled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Award (including any portion of the Award that has vested pursuant to Section 2(c)(y) or 4(a)(ii) hereof), this Award shall terminate immediately and be of no further force or effect with respect to the entire Award or such portion thereof, as applicable.</w:t>
      </w:r>
    </w:p>
    <w:p>
      <w:pPr>
        <w:spacing w:after="0" w:line="194" w:lineRule="exact"/>
        <w:rPr>
          <w:rFonts w:ascii="Arial" w:cs="Arial" w:eastAsia="Arial" w:hAnsi="Arial"/>
          <w:sz w:val="19"/>
          <w:szCs w:val="19"/>
          <w:color w:val="auto"/>
        </w:rPr>
      </w:pPr>
    </w:p>
    <w:p>
      <w:pPr>
        <w:ind w:right="260" w:firstLine="1305"/>
        <w:spacing w:after="0" w:line="257" w:lineRule="auto"/>
        <w:tabs>
          <w:tab w:leader="none" w:pos="218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Grantee’s Employment (i) by the Company without Cause or (ii) by the Grantee for Good Reason, in either case occurring within the two-year period following a Change of Control,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if this Award is subject to a Performance Measure, it shall only vest pursuant to Section 2(b) if (x) the</w:t>
      </w:r>
    </w:p>
    <w:p>
      <w:pPr>
        <w:sectPr>
          <w:pgSz w:w="11900" w:h="16838" w:orient="portrait"/>
          <w:cols w:equalWidth="0" w:num="1">
            <w:col w:w="11420"/>
          </w:cols>
          <w:pgMar w:left="240" w:top="558" w:right="239" w:bottom="1440" w:gutter="0" w:footer="0" w:header="0"/>
        </w:sectPr>
      </w:pPr>
    </w:p>
    <w:bookmarkStart w:id="130" w:name="page131"/>
    <w:bookmarkEnd w:id="130"/>
    <w:p>
      <w:pPr>
        <w:ind w:right="20"/>
        <w:spacing w:after="0" w:line="246" w:lineRule="auto"/>
        <w:rPr>
          <w:sz w:val="20"/>
          <w:szCs w:val="20"/>
          <w:color w:val="auto"/>
        </w:rPr>
      </w:pPr>
      <w:r>
        <w:rPr>
          <w:rFonts w:ascii="Arial" w:cs="Arial" w:eastAsia="Arial" w:hAnsi="Arial"/>
          <w:sz w:val="19"/>
          <w:szCs w:val="19"/>
          <w:color w:val="auto"/>
        </w:rPr>
        <w:t xml:space="preserve">Compensation Committee has certified that the Performance Measure has been attained on or before the date of termination, and in such case shall be settled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(y) the attainment of the Performance Measure is not yet determinable as of such date, and in such case shall fully vest at the time of such termination but the vested portion of the Award shall remain subject to the attainment of the Performance Measure and such vested portion of the Award shall not be settled unless and until the Compensation Committee has certified that the Performance Measure has been attained (and the Award shall be settled at the time of such certification (if any)).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Award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in whole or in part, as applicable, in accordance with Section 2(b) hereof.)</w:t>
      </w:r>
    </w:p>
    <w:p>
      <w:pPr>
        <w:spacing w:after="0" w:line="194" w:lineRule="exact"/>
        <w:rPr>
          <w:sz w:val="20"/>
          <w:szCs w:val="20"/>
          <w:color w:val="auto"/>
        </w:rPr>
      </w:pPr>
    </w:p>
    <w:p>
      <w:pPr>
        <w:ind w:right="80" w:firstLine="1305"/>
        <w:spacing w:after="0" w:line="223" w:lineRule="auto"/>
        <w:tabs>
          <w:tab w:leader="none" w:pos="2107"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308" w:lineRule="exact"/>
        <w:rPr>
          <w:sz w:val="20"/>
          <w:szCs w:val="20"/>
          <w:color w:val="auto"/>
        </w:rPr>
      </w:pPr>
    </w:p>
    <w:p>
      <w:pPr>
        <w:ind w:right="120" w:firstLine="1305"/>
        <w:spacing w:after="0" w:line="223" w:lineRule="auto"/>
        <w:tabs>
          <w:tab w:leader="none" w:pos="218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shall mean any corporation or other entity that stands in a relationship to the Company that would result in the Company and such corporation or other entity being treated as one employer under Section 414(b) and Section 414(c) of the Code.</w:t>
      </w:r>
    </w:p>
    <w:p>
      <w:pPr>
        <w:spacing w:after="0" w:line="199" w:lineRule="exact"/>
        <w:rPr>
          <w:rFonts w:ascii="Arial" w:cs="Arial" w:eastAsia="Arial" w:hAnsi="Arial"/>
          <w:sz w:val="22"/>
          <w:szCs w:val="22"/>
          <w:color w:val="auto"/>
        </w:rPr>
      </w:pPr>
    </w:p>
    <w:p>
      <w:pPr>
        <w:ind w:left="2200" w:hanging="895"/>
        <w:spacing w:after="0"/>
        <w:tabs>
          <w:tab w:leader="none" w:pos="22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19" w:lineRule="exact"/>
        <w:rPr>
          <w:rFonts w:ascii="Arial" w:cs="Arial" w:eastAsia="Arial" w:hAnsi="Arial"/>
          <w:sz w:val="22"/>
          <w:szCs w:val="22"/>
          <w:color w:val="auto"/>
        </w:rPr>
      </w:pPr>
    </w:p>
    <w:p>
      <w:pPr>
        <w:ind w:right="500" w:firstLine="1953"/>
        <w:spacing w:after="0" w:line="268" w:lineRule="auto"/>
        <w:tabs>
          <w:tab w:leader="none" w:pos="276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2" w:lineRule="exact"/>
        <w:rPr>
          <w:rFonts w:ascii="Arial" w:cs="Arial" w:eastAsia="Arial" w:hAnsi="Arial"/>
          <w:sz w:val="19"/>
          <w:szCs w:val="19"/>
          <w:color w:val="auto"/>
        </w:rPr>
      </w:pPr>
    </w:p>
    <w:p>
      <w:pPr>
        <w:ind w:left="2820" w:hanging="867"/>
        <w:spacing w:after="0"/>
        <w:tabs>
          <w:tab w:leader="none" w:pos="282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01" w:lineRule="exact"/>
        <w:rPr>
          <w:rFonts w:ascii="Arial" w:cs="Arial" w:eastAsia="Arial" w:hAnsi="Arial"/>
          <w:sz w:val="19"/>
          <w:szCs w:val="19"/>
          <w:color w:val="auto"/>
        </w:rPr>
      </w:pPr>
    </w:p>
    <w:p>
      <w:pPr>
        <w:ind w:right="320" w:firstLine="1953"/>
        <w:spacing w:after="0" w:line="223" w:lineRule="auto"/>
        <w:tabs>
          <w:tab w:leader="none" w:pos="282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199" w:lineRule="exact"/>
        <w:rPr>
          <w:rFonts w:ascii="Arial" w:cs="Arial" w:eastAsia="Arial" w:hAnsi="Arial"/>
          <w:sz w:val="22"/>
          <w:szCs w:val="22"/>
          <w:color w:val="auto"/>
        </w:rPr>
      </w:pPr>
    </w:p>
    <w:p>
      <w:pPr>
        <w:ind w:right="660" w:firstLine="1953"/>
        <w:spacing w:after="0" w:line="234" w:lineRule="auto"/>
        <w:tabs>
          <w:tab w:leader="none" w:pos="2801"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198" w:lineRule="exact"/>
        <w:rPr>
          <w:rFonts w:ascii="Arial" w:cs="Arial" w:eastAsia="Arial" w:hAnsi="Arial"/>
          <w:sz w:val="21"/>
          <w:szCs w:val="21"/>
          <w:color w:val="auto"/>
        </w:rPr>
      </w:pPr>
    </w:p>
    <w:p>
      <w:pPr>
        <w:ind w:firstLine="1953"/>
        <w:spacing w:after="0" w:line="223" w:lineRule="auto"/>
        <w:tabs>
          <w:tab w:leader="none" w:pos="2741" w:val="left"/>
        </w:tabs>
        <w:numPr>
          <w:ilvl w:val="1"/>
          <w:numId w:val="141"/>
        </w:numPr>
        <w:rPr>
          <w:rFonts w:ascii="Arial" w:cs="Arial" w:eastAsia="Arial" w:hAnsi="Arial"/>
          <w:sz w:val="21"/>
          <w:szCs w:val="21"/>
          <w:color w:val="auto"/>
        </w:rPr>
      </w:pPr>
      <w:r>
        <w:rPr>
          <w:rFonts w:ascii="Arial" w:cs="Arial" w:eastAsia="Arial" w:hAnsi="Arial"/>
          <w:sz w:val="21"/>
          <w:szCs w:val="21"/>
          <w:color w:val="auto"/>
        </w:rPr>
        <w:t>for purposes of Section 9(a),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ectPr>
          <w:pgSz w:w="11900" w:h="16838" w:orient="portrait"/>
          <w:cols w:equalWidth="0" w:num="1">
            <w:col w:w="11380"/>
          </w:cols>
          <w:pgMar w:left="240" w:top="537" w:right="279" w:bottom="1440" w:gutter="0" w:footer="0" w:header="0"/>
        </w:sectPr>
      </w:pPr>
    </w:p>
    <w:bookmarkStart w:id="131" w:name="page132"/>
    <w:bookmarkEnd w:id="131"/>
    <w:p>
      <w:pPr>
        <w:ind w:right="20"/>
        <w:spacing w:after="0" w:line="289" w:lineRule="auto"/>
        <w:rPr>
          <w:sz w:val="20"/>
          <w:szCs w:val="20"/>
          <w:color w:val="auto"/>
        </w:rPr>
      </w:pPr>
      <w:r>
        <w:rPr>
          <w:rFonts w:ascii="Arial" w:cs="Arial" w:eastAsia="Arial" w:hAnsi="Arial"/>
          <w:sz w:val="19"/>
          <w:szCs w:val="19"/>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 foregoing, if Grantee is party to an employment, severance-benefit, change of control or similar agreement with the Company that contains a definition of “Cause” (or a correlative term), such definition will apply (in the case of such Grantee for purposes of this Agreement) in lieu of Section 3(b)(i)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3(b)(v) of the definition set forth above will always apply for purposes of this Agreement.</w:t>
      </w:r>
    </w:p>
    <w:p>
      <w:pPr>
        <w:spacing w:after="0" w:line="225" w:lineRule="exact"/>
        <w:rPr>
          <w:sz w:val="20"/>
          <w:szCs w:val="20"/>
          <w:color w:val="auto"/>
        </w:rPr>
      </w:pPr>
    </w:p>
    <w:p>
      <w:pPr>
        <w:ind w:right="20" w:firstLine="1305"/>
        <w:spacing w:after="0" w:line="242" w:lineRule="auto"/>
        <w:tabs>
          <w:tab w:leader="none" w:pos="218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shall mean the occurrence of any one of the following two events: (i) any “person,” as such term is used in Sections 13(d) and 14(d) of the Exchange Act (other than the Company, any of its Affiliates, or any trustee, fiduciary or other person or entity holding securities under any employee benefit plan or trust of the Company or any of its Affiliates),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percent or more of the combined voting power of the Company’s then outstanding securities having the right to vote in an election of the Board (“</w:t>
      </w:r>
      <w:r>
        <w:rPr>
          <w:rFonts w:ascii="Arial" w:cs="Arial" w:eastAsia="Arial" w:hAnsi="Arial"/>
          <w:sz w:val="19"/>
          <w:szCs w:val="19"/>
          <w:u w:val="single" w:color="auto"/>
          <w:color w:val="auto"/>
        </w:rPr>
        <w:t>Voting Securities</w:t>
      </w:r>
      <w:r>
        <w:rPr>
          <w:rFonts w:ascii="Arial" w:cs="Arial" w:eastAsia="Arial" w:hAnsi="Arial"/>
          <w:sz w:val="19"/>
          <w:szCs w:val="19"/>
          <w:color w:val="auto"/>
        </w:rPr>
        <w:t>”) (in such case other than as a result of an acquisition of securities directly from the Company); or (ii) the consummation of (A) any consolidation or merger of the Company where the stockholders of the Company, immediately prior to the consolidation or merger, would not, immediately after the consolidation or merger, beneficially own (as such term is defined in Rule 13d-3 under the Exchange Act), directly or indirectly, shares representing in the aggregate 50 percent or more of the voting shares of the corporation (or other business entity) issuing cash or securities in the consolidation or merger (or of its ultimate parent, if any), (B) any sale, lease, exchange or other transfer (in one transaction or a series of transactions contemplated or arranged by any party as a single plan) of all or substantially all of the assets of the Company or (C) the liquidation or dissolution of the Company.</w:t>
      </w:r>
    </w:p>
    <w:p>
      <w:pPr>
        <w:spacing w:after="0" w:line="184"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 xml:space="preserve">Notwithstanding the foregoing, a “Change of Control” shall not be deemed to have occurred for purposes of the foregoing subsection (c)(i) solely as the result of an acquisition of securities by the Company which, by reducing the number of shares of Voting Securities outstanding, increases the proportionate number of shares of Voting Securities beneficially owned by any person to 25 percent or more of the combined voting power of all then outstanding Voting Securities; </w:t>
      </w:r>
      <w:r>
        <w:rPr>
          <w:rFonts w:ascii="Arial" w:cs="Arial" w:eastAsia="Arial" w:hAnsi="Arial"/>
          <w:sz w:val="19"/>
          <w:szCs w:val="19"/>
          <w:u w:val="single" w:color="auto"/>
          <w:color w:val="auto"/>
        </w:rPr>
        <w:t>provided that</w:t>
      </w:r>
      <w:r>
        <w:rPr>
          <w:rFonts w:ascii="Arial" w:cs="Arial" w:eastAsia="Arial" w:hAnsi="Arial"/>
          <w:sz w:val="19"/>
          <w:szCs w:val="19"/>
          <w:color w:val="auto"/>
        </w:rPr>
        <w: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“Change of Control” shall be deemed to have occurred for purposes of the foregoing subsection (c)(i).</w:t>
      </w:r>
    </w:p>
    <w:p>
      <w:pPr>
        <w:spacing w:after="0" w:line="219" w:lineRule="exact"/>
        <w:rPr>
          <w:sz w:val="20"/>
          <w:szCs w:val="20"/>
          <w:color w:val="auto"/>
        </w:rPr>
      </w:pPr>
    </w:p>
    <w:p>
      <w:pPr>
        <w:ind w:left="2200" w:hanging="895"/>
        <w:spacing w:after="0"/>
        <w:tabs>
          <w:tab w:leader="none" w:pos="22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02" w:lineRule="exact"/>
        <w:rPr>
          <w:sz w:val="20"/>
          <w:szCs w:val="20"/>
          <w:color w:val="auto"/>
        </w:rPr>
      </w:pPr>
    </w:p>
    <w:p>
      <w:pPr>
        <w:ind w:right="100" w:firstLine="1953"/>
        <w:spacing w:after="0" w:line="257" w:lineRule="auto"/>
        <w:tabs>
          <w:tab w:leader="none" w:pos="270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w:t>
      </w:r>
    </w:p>
    <w:p>
      <w:pPr>
        <w:sectPr>
          <w:pgSz w:w="11900" w:h="16838" w:orient="portrait"/>
          <w:cols w:equalWidth="0" w:num="1">
            <w:col w:w="11360"/>
          </w:cols>
          <w:pgMar w:left="240" w:top="564" w:right="299" w:bottom="1440" w:gutter="0" w:footer="0" w:header="0"/>
        </w:sectPr>
      </w:pPr>
    </w:p>
    <w:bookmarkStart w:id="132" w:name="page133"/>
    <w:bookmarkEnd w:id="132"/>
    <w:p>
      <w:pPr>
        <w:ind w:right="360"/>
        <w:spacing w:after="0" w:line="232" w:lineRule="auto"/>
        <w:rPr>
          <w:sz w:val="20"/>
          <w:szCs w:val="20"/>
          <w:color w:val="auto"/>
        </w:rPr>
      </w:pPr>
      <w:r>
        <w:rPr>
          <w:rFonts w:ascii="Arial" w:cs="Arial" w:eastAsia="Arial" w:hAnsi="Arial"/>
          <w:sz w:val="22"/>
          <w:szCs w:val="22"/>
          <w:color w:val="auto"/>
        </w:rPr>
        <w:t>employees of such Client or any such subsidiaries or Affiliates thereof, or Persons who are members of the immediate family of such Client or any of the other foregoing Persons or Affiliates of any of them;</w:t>
      </w:r>
    </w:p>
    <w:p>
      <w:pPr>
        <w:spacing w:after="0" w:line="200" w:lineRule="exact"/>
        <w:rPr>
          <w:sz w:val="20"/>
          <w:szCs w:val="20"/>
          <w:color w:val="auto"/>
        </w:rPr>
      </w:pPr>
    </w:p>
    <w:p>
      <w:pPr>
        <w:ind w:right="20" w:firstLine="1953"/>
        <w:spacing w:after="0" w:line="247" w:lineRule="auto"/>
        <w:tabs>
          <w:tab w:leader="none" w:pos="2767" w:val="left"/>
        </w:tabs>
        <w:numPr>
          <w:ilvl w:val="1"/>
          <w:numId w:val="145"/>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195" w:lineRule="exact"/>
        <w:rPr>
          <w:rFonts w:ascii="Arial" w:cs="Arial" w:eastAsia="Arial" w:hAnsi="Arial"/>
          <w:sz w:val="19"/>
          <w:szCs w:val="19"/>
          <w:color w:val="auto"/>
        </w:rPr>
      </w:pPr>
    </w:p>
    <w:p>
      <w:pPr>
        <w:ind w:right="120" w:firstLine="1953"/>
        <w:spacing w:after="0" w:line="252" w:lineRule="auto"/>
        <w:tabs>
          <w:tab w:leader="none" w:pos="2827" w:val="left"/>
        </w:tabs>
        <w:numPr>
          <w:ilvl w:val="1"/>
          <w:numId w:val="145"/>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89" w:lineRule="exact"/>
        <w:rPr>
          <w:rFonts w:ascii="Arial" w:cs="Arial" w:eastAsia="Arial" w:hAnsi="Arial"/>
          <w:sz w:val="19"/>
          <w:szCs w:val="19"/>
          <w:color w:val="auto"/>
        </w:rPr>
      </w:pPr>
    </w:p>
    <w:p>
      <w:pPr>
        <w:ind w:right="120" w:firstLine="1953"/>
        <w:spacing w:after="0" w:line="223" w:lineRule="auto"/>
        <w:tabs>
          <w:tab w:leader="none" w:pos="2801" w:val="left"/>
        </w:tabs>
        <w:numPr>
          <w:ilvl w:val="1"/>
          <w:numId w:val="145"/>
        </w:numPr>
        <w:rPr>
          <w:rFonts w:ascii="Arial" w:cs="Arial" w:eastAsia="Arial" w:hAnsi="Arial"/>
          <w:sz w:val="21"/>
          <w:szCs w:val="21"/>
          <w:color w:val="auto"/>
        </w:rPr>
      </w:pPr>
      <w:r>
        <w:rPr>
          <w:rFonts w:ascii="Arial" w:cs="Arial" w:eastAsia="Arial" w:hAnsi="Arial"/>
          <w:sz w:val="21"/>
          <w:szCs w:val="21"/>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1"/>
          <w:szCs w:val="21"/>
          <w:u w:val="single" w:color="auto"/>
          <w:color w:val="auto"/>
        </w:rPr>
        <w:t>provided that</w:t>
      </w:r>
      <w:r>
        <w:rPr>
          <w:rFonts w:ascii="Arial" w:cs="Arial" w:eastAsia="Arial" w:hAnsi="Arial"/>
          <w:sz w:val="21"/>
          <w:szCs w:val="21"/>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and/or its subsidiaries or its Affiliates), a participant therein shall not be deemed a Present Client or Past Client (as applicable) hereunder); and</w:t>
      </w:r>
    </w:p>
    <w:p>
      <w:pPr>
        <w:spacing w:after="0" w:line="252" w:lineRule="exact"/>
        <w:rPr>
          <w:rFonts w:ascii="Arial" w:cs="Arial" w:eastAsia="Arial" w:hAnsi="Arial"/>
          <w:sz w:val="21"/>
          <w:szCs w:val="21"/>
          <w:color w:val="auto"/>
        </w:rPr>
      </w:pPr>
    </w:p>
    <w:p>
      <w:pPr>
        <w:jc w:val="both"/>
        <w:ind w:right="240" w:firstLine="1953"/>
        <w:spacing w:after="0" w:line="268" w:lineRule="auto"/>
        <w:tabs>
          <w:tab w:leader="none" w:pos="2741" w:val="left"/>
        </w:tabs>
        <w:numPr>
          <w:ilvl w:val="1"/>
          <w:numId w:val="145"/>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32" w:lineRule="exact"/>
        <w:rPr>
          <w:rFonts w:ascii="Arial" w:cs="Arial" w:eastAsia="Arial" w:hAnsi="Arial"/>
          <w:sz w:val="19"/>
          <w:szCs w:val="19"/>
          <w:color w:val="auto"/>
        </w:rPr>
      </w:pPr>
    </w:p>
    <w:p>
      <w:pPr>
        <w:ind w:left="2240" w:hanging="935"/>
        <w:spacing w:after="0"/>
        <w:tabs>
          <w:tab w:leader="none" w:pos="2240" w:val="left"/>
        </w:tabs>
        <w:numPr>
          <w:ilvl w:val="0"/>
          <w:numId w:val="146"/>
        </w:numPr>
        <w:rPr>
          <w:rFonts w:ascii="Arial" w:cs="Arial" w:eastAsia="Arial" w:hAnsi="Arial"/>
          <w:sz w:val="22"/>
          <w:szCs w:val="22"/>
          <w:color w:val="auto"/>
        </w:rPr>
      </w:pPr>
      <w:r>
        <w:rPr>
          <w:rFonts w:ascii="Arial" w:cs="Arial" w:eastAsia="Arial" w:hAnsi="Arial"/>
          <w:sz w:val="22"/>
          <w:szCs w:val="22"/>
          <w:i w:val="1"/>
          <w:iCs w:val="1"/>
          <w:color w:val="auto"/>
        </w:rPr>
        <w:t xml:space="preserve">“Compensation Committee” </w:t>
      </w:r>
      <w:r>
        <w:rPr>
          <w:rFonts w:ascii="Arial" w:cs="Arial" w:eastAsia="Arial" w:hAnsi="Arial"/>
          <w:sz w:val="22"/>
          <w:szCs w:val="22"/>
          <w:color w:val="auto"/>
        </w:rPr>
        <w:t>shall mean the Compensation Committee of the Board.</w:t>
      </w:r>
    </w:p>
    <w:p>
      <w:pPr>
        <w:spacing w:after="0" w:line="219" w:lineRule="exact"/>
        <w:rPr>
          <w:rFonts w:ascii="Arial" w:cs="Arial" w:eastAsia="Arial" w:hAnsi="Arial"/>
          <w:sz w:val="22"/>
          <w:szCs w:val="22"/>
          <w:color w:val="auto"/>
        </w:rPr>
      </w:pPr>
    </w:p>
    <w:p>
      <w:pPr>
        <w:jc w:val="both"/>
        <w:ind w:firstLine="1305"/>
        <w:spacing w:after="0" w:line="234" w:lineRule="auto"/>
        <w:tabs>
          <w:tab w:leader="none" w:pos="216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Covered Transaction</w:t>
      </w:r>
      <w:r>
        <w:rPr>
          <w:rFonts w:ascii="Arial" w:cs="Arial" w:eastAsia="Arial" w:hAnsi="Arial"/>
          <w:sz w:val="21"/>
          <w:szCs w:val="21"/>
          <w:color w:val="auto"/>
        </w:rPr>
        <w:t>” shall mean a consolidation or merger or a sale, lease, exchange or other transfer of all or substantially all of the assets of the Company in which outstanding Shares are exchanged for securities, cash or other property of an unrelated corporation (or other business entity) or a liquidation of the Company.</w:t>
      </w:r>
    </w:p>
    <w:p>
      <w:pPr>
        <w:spacing w:after="0" w:line="158" w:lineRule="exact"/>
        <w:rPr>
          <w:rFonts w:ascii="Arial" w:cs="Arial" w:eastAsia="Arial" w:hAnsi="Arial"/>
          <w:sz w:val="21"/>
          <w:szCs w:val="21"/>
          <w:color w:val="auto"/>
        </w:rPr>
      </w:pPr>
    </w:p>
    <w:p>
      <w:pPr>
        <w:ind w:right="140" w:firstLine="1305"/>
        <w:spacing w:after="0" w:line="249" w:lineRule="auto"/>
        <w:tabs>
          <w:tab w:leader="none" w:pos="219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Employment</w:t>
      </w:r>
      <w:r>
        <w:rPr>
          <w:rFonts w:ascii="Arial" w:cs="Arial" w:eastAsia="Arial" w:hAnsi="Arial"/>
          <w:sz w:val="19"/>
          <w:szCs w:val="19"/>
          <w:color w:val="auto"/>
        </w:rPr>
        <w:t>” shall mean the Grantee’s employment or other service relationship with the Company and its Affiliates. Employment will be deemed to continue, unless the Administrator expressly provides otherwise, so long as the Grantee is employed by, or otherwise providing services to, the Company or its Affiliates. If the Grantee’s employment or other service relationship is with an Affiliate and that entity ceases to be an Affiliate, the Grantee’s Employment will be deemed to have terminated when the entity ceases to be an Affiliate unless the Grantee transfers Employment to the Company or its remaining Affiliates. Notwithstanding the foregoing and the definition of “Affiliate”</w:t>
      </w:r>
    </w:p>
    <w:p>
      <w:pPr>
        <w:sectPr>
          <w:pgSz w:w="11900" w:h="16838" w:orient="portrait"/>
          <w:cols w:equalWidth="0" w:num="1">
            <w:col w:w="11420"/>
          </w:cols>
          <w:pgMar w:left="240" w:top="537" w:right="239" w:bottom="1440" w:gutter="0" w:footer="0" w:header="0"/>
        </w:sectPr>
      </w:pPr>
    </w:p>
    <w:bookmarkStart w:id="133" w:name="page134"/>
    <w:bookmarkEnd w:id="133"/>
    <w:p>
      <w:pPr>
        <w:ind w:right="40"/>
        <w:spacing w:after="0" w:line="246" w:lineRule="auto"/>
        <w:rPr>
          <w:sz w:val="20"/>
          <w:szCs w:val="20"/>
          <w:color w:val="auto"/>
        </w:rPr>
      </w:pPr>
      <w:r>
        <w:rPr>
          <w:rFonts w:ascii="Arial" w:cs="Arial" w:eastAsia="Arial" w:hAnsi="Arial"/>
          <w:sz w:val="19"/>
          <w:szCs w:val="19"/>
          <w:color w:val="auto"/>
        </w:rPr>
        <w:t>above, in construing the provisions of this Award relating to the payment of “nonqualified deferred compensation” (subject to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all other corporations and trades or businesses, if any, that would be treated as a single “service recipient” with the Company under Section 1.409A(h)(3)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194" w:lineRule="exact"/>
        <w:rPr>
          <w:sz w:val="20"/>
          <w:szCs w:val="20"/>
          <w:color w:val="auto"/>
        </w:rPr>
      </w:pPr>
    </w:p>
    <w:p>
      <w:pPr>
        <w:ind w:left="2200" w:hanging="895"/>
        <w:spacing w:after="0"/>
        <w:tabs>
          <w:tab w:leader="none" w:pos="22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shall mean the Securities Exchange Act of 1934, as amended.</w:t>
      </w:r>
    </w:p>
    <w:p>
      <w:pPr>
        <w:spacing w:after="0" w:line="219" w:lineRule="exact"/>
        <w:rPr>
          <w:rFonts w:ascii="Arial" w:cs="Arial" w:eastAsia="Arial" w:hAnsi="Arial"/>
          <w:sz w:val="22"/>
          <w:szCs w:val="22"/>
          <w:color w:val="auto"/>
        </w:rPr>
      </w:pPr>
    </w:p>
    <w:p>
      <w:pPr>
        <w:ind w:right="140" w:firstLine="1305"/>
        <w:spacing w:after="0" w:line="268" w:lineRule="auto"/>
        <w:tabs>
          <w:tab w:leader="none" w:pos="214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2" w:lineRule="exact"/>
        <w:rPr>
          <w:rFonts w:ascii="Arial" w:cs="Arial" w:eastAsia="Arial" w:hAnsi="Arial"/>
          <w:sz w:val="19"/>
          <w:szCs w:val="19"/>
          <w:color w:val="auto"/>
        </w:rPr>
      </w:pPr>
    </w:p>
    <w:p>
      <w:pPr>
        <w:ind w:right="120" w:firstLine="1305"/>
        <w:spacing w:after="0" w:line="218" w:lineRule="auto"/>
        <w:tabs>
          <w:tab w:leader="none" w:pos="214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161" w:lineRule="exact"/>
        <w:rPr>
          <w:rFonts w:ascii="Arial" w:cs="Arial" w:eastAsia="Arial" w:hAnsi="Arial"/>
          <w:sz w:val="22"/>
          <w:szCs w:val="22"/>
          <w:color w:val="auto"/>
        </w:rPr>
      </w:pPr>
    </w:p>
    <w:p>
      <w:pPr>
        <w:ind w:left="2720" w:hanging="767"/>
        <w:spacing w:after="0"/>
        <w:tabs>
          <w:tab w:leader="none" w:pos="272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54" w:lineRule="exact"/>
        <w:rPr>
          <w:rFonts w:ascii="Arial" w:cs="Arial" w:eastAsia="Arial" w:hAnsi="Arial"/>
          <w:sz w:val="19"/>
          <w:szCs w:val="19"/>
          <w:color w:val="auto"/>
        </w:rPr>
      </w:pPr>
    </w:p>
    <w:p>
      <w:pPr>
        <w:ind w:right="240" w:firstLine="1953"/>
        <w:spacing w:after="0" w:line="232" w:lineRule="auto"/>
        <w:tabs>
          <w:tab w:leader="none" w:pos="2767" w:val="left"/>
        </w:tabs>
        <w:numPr>
          <w:ilvl w:val="1"/>
          <w:numId w:val="147"/>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199" w:lineRule="exact"/>
        <w:rPr>
          <w:rFonts w:ascii="Arial" w:cs="Arial" w:eastAsia="Arial" w:hAnsi="Arial"/>
          <w:sz w:val="22"/>
          <w:szCs w:val="22"/>
          <w:color w:val="auto"/>
        </w:rPr>
      </w:pPr>
    </w:p>
    <w:p>
      <w:pPr>
        <w:ind w:right="160" w:firstLine="1953"/>
        <w:spacing w:after="0" w:line="232" w:lineRule="auto"/>
        <w:tabs>
          <w:tab w:leader="none" w:pos="2827" w:val="left"/>
        </w:tabs>
        <w:numPr>
          <w:ilvl w:val="1"/>
          <w:numId w:val="147"/>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186" w:lineRule="exact"/>
        <w:rPr>
          <w:sz w:val="20"/>
          <w:szCs w:val="20"/>
          <w:color w:val="auto"/>
        </w:rPr>
      </w:pPr>
    </w:p>
    <w:p>
      <w:pPr>
        <w:ind w:right="60" w:firstLine="1297"/>
        <w:spacing w:after="0" w:line="250" w:lineRule="auto"/>
        <w:rPr>
          <w:sz w:val="20"/>
          <w:szCs w:val="20"/>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202" w:lineRule="exact"/>
        <w:rPr>
          <w:sz w:val="20"/>
          <w:szCs w:val="20"/>
          <w:color w:val="auto"/>
        </w:rPr>
      </w:pPr>
    </w:p>
    <w:p>
      <w:pPr>
        <w:ind w:right="140" w:firstLine="1305"/>
        <w:spacing w:after="0" w:line="226" w:lineRule="auto"/>
        <w:tabs>
          <w:tab w:leader="none" w:pos="2197" w:val="left"/>
        </w:tabs>
        <w:numPr>
          <w:ilvl w:val="0"/>
          <w:numId w:val="1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200" w:lineRule="exact"/>
        <w:rPr>
          <w:rFonts w:ascii="Arial" w:cs="Arial" w:eastAsia="Arial" w:hAnsi="Arial"/>
          <w:sz w:val="21"/>
          <w:szCs w:val="21"/>
          <w:color w:val="auto"/>
        </w:rPr>
      </w:pPr>
    </w:p>
    <w:p>
      <w:pPr>
        <w:ind w:firstLine="1305"/>
        <w:spacing w:after="0" w:line="223" w:lineRule="auto"/>
        <w:tabs>
          <w:tab w:leader="none" w:pos="214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Past Client</w:t>
      </w:r>
      <w:r>
        <w:rPr>
          <w:rFonts w:ascii="Arial" w:cs="Arial" w:eastAsia="Arial" w:hAnsi="Arial"/>
          <w:sz w:val="22"/>
          <w:szCs w:val="22"/>
          <w:color w:val="auto"/>
        </w:rPr>
        <w:t>” shall mean, subject to the general rules under the definition of Client, at any particular time of determination, any Person (i) who at any point prior to such time of determination had been, directly or indirectly (and including, without limitation, through one or more</w:t>
      </w:r>
    </w:p>
    <w:p>
      <w:pPr>
        <w:sectPr>
          <w:pgSz w:w="11900" w:h="16838" w:orient="portrait"/>
          <w:cols w:equalWidth="0" w:num="1">
            <w:col w:w="11420"/>
          </w:cols>
          <w:pgMar w:left="240" w:top="537" w:right="239" w:bottom="1440" w:gutter="0" w:footer="0" w:header="0"/>
        </w:sectPr>
      </w:pPr>
    </w:p>
    <w:bookmarkStart w:id="134" w:name="page135"/>
    <w:bookmarkEnd w:id="134"/>
    <w:p>
      <w:pPr>
        <w:spacing w:after="0" w:line="242" w:lineRule="auto"/>
        <w:rPr>
          <w:sz w:val="20"/>
          <w:szCs w:val="20"/>
          <w:color w:val="auto"/>
        </w:rPr>
      </w:pPr>
      <w:r>
        <w:rPr>
          <w:rFonts w:ascii="Arial" w:cs="Arial" w:eastAsia="Arial" w:hAnsi="Arial"/>
          <w:sz w:val="19"/>
          <w:szCs w:val="19"/>
          <w:color w:val="auto"/>
        </w:rPr>
        <w:t xml:space="preserve">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51" w:lineRule="exact"/>
        <w:rPr>
          <w:sz w:val="20"/>
          <w:szCs w:val="20"/>
          <w:color w:val="auto"/>
        </w:rPr>
      </w:pPr>
    </w:p>
    <w:p>
      <w:pPr>
        <w:ind w:right="40" w:firstLine="1305"/>
        <w:spacing w:after="0" w:line="298" w:lineRule="auto"/>
        <w:tabs>
          <w:tab w:leader="none" w:pos="225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Criteria</w:t>
      </w:r>
      <w:r>
        <w:rPr>
          <w:rFonts w:ascii="Arial" w:cs="Arial" w:eastAsia="Arial" w:hAnsi="Arial"/>
          <w:sz w:val="19"/>
          <w:szCs w:val="19"/>
          <w:color w:val="auto"/>
        </w:rPr>
        <w:t>” shall mean specified criteria, other than the mere continuation of Employment or the mere passage of time, the satisfaction of which is a condition for the vesting or full enjoyment of the Award.</w:t>
      </w:r>
    </w:p>
    <w:p>
      <w:pPr>
        <w:spacing w:after="0" w:line="146" w:lineRule="exact"/>
        <w:rPr>
          <w:rFonts w:ascii="Arial" w:cs="Arial" w:eastAsia="Arial" w:hAnsi="Arial"/>
          <w:sz w:val="19"/>
          <w:szCs w:val="19"/>
          <w:color w:val="auto"/>
        </w:rPr>
      </w:pPr>
    </w:p>
    <w:p>
      <w:pPr>
        <w:ind w:right="100" w:firstLine="1305"/>
        <w:spacing w:after="0" w:line="232" w:lineRule="auto"/>
        <w:tabs>
          <w:tab w:leader="none" w:pos="219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 for the Performance Period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199" w:lineRule="exact"/>
        <w:rPr>
          <w:rFonts w:ascii="Arial" w:cs="Arial" w:eastAsia="Arial" w:hAnsi="Arial"/>
          <w:sz w:val="22"/>
          <w:szCs w:val="22"/>
          <w:color w:val="auto"/>
        </w:rPr>
      </w:pPr>
    </w:p>
    <w:p>
      <w:pPr>
        <w:ind w:left="2200" w:hanging="895"/>
        <w:spacing w:after="0"/>
        <w:tabs>
          <w:tab w:leader="none" w:pos="22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a period of at least a full fiscal year of the Company.</w:t>
      </w:r>
    </w:p>
    <w:p>
      <w:pPr>
        <w:spacing w:after="0" w:line="219" w:lineRule="exact"/>
        <w:rPr>
          <w:rFonts w:ascii="Arial" w:cs="Arial" w:eastAsia="Arial" w:hAnsi="Arial"/>
          <w:sz w:val="22"/>
          <w:szCs w:val="22"/>
          <w:color w:val="auto"/>
        </w:rPr>
      </w:pPr>
    </w:p>
    <w:p>
      <w:pPr>
        <w:ind w:right="760" w:firstLine="1305"/>
        <w:spacing w:after="0" w:line="298" w:lineRule="auto"/>
        <w:tabs>
          <w:tab w:leader="none" w:pos="219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6" w:lineRule="exact"/>
        <w:rPr>
          <w:rFonts w:ascii="Arial" w:cs="Arial" w:eastAsia="Arial" w:hAnsi="Arial"/>
          <w:sz w:val="19"/>
          <w:szCs w:val="19"/>
          <w:color w:val="auto"/>
        </w:rPr>
      </w:pPr>
    </w:p>
    <w:p>
      <w:pPr>
        <w:ind w:right="20" w:firstLine="1305"/>
        <w:spacing w:after="0" w:line="218" w:lineRule="auto"/>
        <w:tabs>
          <w:tab w:leader="none" w:pos="2197" w:val="left"/>
        </w:tabs>
        <w:numPr>
          <w:ilvl w:val="0"/>
          <w:numId w:val="1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Potential Client</w:t>
      </w:r>
      <w:r>
        <w:rPr>
          <w:rFonts w:ascii="Arial" w:cs="Arial" w:eastAsia="Arial" w:hAnsi="Arial"/>
          <w:sz w:val="21"/>
          <w:szCs w:val="21"/>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w:t>
      </w:r>
    </w:p>
    <w:p>
      <w:pPr>
        <w:sectPr>
          <w:pgSz w:w="11900" w:h="16838" w:orient="portrait"/>
          <w:cols w:equalWidth="0" w:num="1">
            <w:col w:w="11420"/>
          </w:cols>
          <w:pgMar w:left="240" w:top="537" w:right="239" w:bottom="1440" w:gutter="0" w:footer="0" w:header="0"/>
        </w:sectPr>
      </w:pPr>
    </w:p>
    <w:bookmarkStart w:id="135" w:name="page136"/>
    <w:bookmarkEnd w:id="135"/>
    <w:p>
      <w:pPr>
        <w:ind w:right="580"/>
        <w:spacing w:after="0" w:line="232" w:lineRule="auto"/>
        <w:rPr>
          <w:sz w:val="20"/>
          <w:szCs w:val="20"/>
          <w:color w:val="auto"/>
        </w:rPr>
      </w:pPr>
      <w:r>
        <w:rPr>
          <w:rFonts w:ascii="Arial" w:cs="Arial" w:eastAsia="Arial" w:hAnsi="Arial"/>
          <w:sz w:val="22"/>
          <w:szCs w:val="22"/>
          <w:color w:val="auto"/>
        </w:rPr>
        <w:t>media in which the offer, if any, is available to the general public, such as magazines, newspapers and sponsorships of public events.</w:t>
      </w:r>
    </w:p>
    <w:p>
      <w:pPr>
        <w:spacing w:after="0" w:line="200" w:lineRule="exact"/>
        <w:rPr>
          <w:sz w:val="20"/>
          <w:szCs w:val="20"/>
          <w:color w:val="auto"/>
        </w:rPr>
      </w:pPr>
    </w:p>
    <w:p>
      <w:pPr>
        <w:ind w:firstLine="1305"/>
        <w:spacing w:after="0" w:line="245" w:lineRule="auto"/>
        <w:tabs>
          <w:tab w:leader="none" w:pos="216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4" w:lineRule="exact"/>
        <w:rPr>
          <w:rFonts w:ascii="Arial" w:cs="Arial" w:eastAsia="Arial" w:hAnsi="Arial"/>
          <w:sz w:val="19"/>
          <w:szCs w:val="19"/>
          <w:color w:val="auto"/>
        </w:rPr>
      </w:pPr>
    </w:p>
    <w:p>
      <w:pPr>
        <w:ind w:left="2180" w:hanging="875"/>
        <w:spacing w:after="0"/>
        <w:tabs>
          <w:tab w:leader="none" w:pos="21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Section 409A</w:t>
      </w:r>
      <w:r>
        <w:rPr>
          <w:rFonts w:ascii="Arial" w:cs="Arial" w:eastAsia="Arial" w:hAnsi="Arial"/>
          <w:sz w:val="19"/>
          <w:szCs w:val="19"/>
          <w:color w:val="auto"/>
        </w:rPr>
        <w:t>” shall mean Section 409A of the Code, including the Treasury Regulations and guidance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promulgated thereunder.</w:t>
      </w:r>
    </w:p>
    <w:p>
      <w:pPr>
        <w:spacing w:after="0" w:line="229"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Notwithstanding the foregoing or anything to the contrary herein, the term “disability” shall not have the meaning set forth in the Plan.</w:t>
      </w:r>
    </w:p>
    <w:p>
      <w:pPr>
        <w:spacing w:after="0" w:line="242" w:lineRule="exact"/>
        <w:rPr>
          <w:sz w:val="20"/>
          <w:szCs w:val="20"/>
          <w:color w:val="auto"/>
        </w:rPr>
      </w:pPr>
    </w:p>
    <w:p>
      <w:pPr>
        <w:ind w:right="480" w:firstLine="1305"/>
        <w:spacing w:after="0" w:line="232" w:lineRule="auto"/>
        <w:tabs>
          <w:tab w:leader="none" w:pos="2107"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200" w:lineRule="exact"/>
        <w:rPr>
          <w:sz w:val="20"/>
          <w:szCs w:val="20"/>
          <w:color w:val="auto"/>
        </w:rPr>
      </w:pPr>
    </w:p>
    <w:p>
      <w:pPr>
        <w:jc w:val="both"/>
        <w:ind w:right="140" w:firstLine="1305"/>
        <w:spacing w:after="0" w:line="243" w:lineRule="auto"/>
        <w:tabs>
          <w:tab w:leader="none" w:pos="2185"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Notwithstanding anything to the contrary herein or in the Plan, if the Grantee’s Employment terminates by reason of death or disability,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it shall only vest pursuant to Section 2(b) if</w:t>
      </w:r>
    </w:p>
    <w:p>
      <w:pPr>
        <w:spacing w:after="0" w:line="2" w:lineRule="exact"/>
        <w:rPr>
          <w:rFonts w:ascii="Arial" w:cs="Arial" w:eastAsia="Arial" w:hAnsi="Arial"/>
          <w:sz w:val="19"/>
          <w:szCs w:val="19"/>
          <w:color w:val="auto"/>
        </w:rPr>
      </w:pPr>
    </w:p>
    <w:p>
      <w:pPr>
        <w:ind w:right="40" w:firstLine="8"/>
        <w:spacing w:after="0" w:line="243" w:lineRule="auto"/>
        <w:tabs>
          <w:tab w:leader="none" w:pos="25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Compensation Committee has certified that the Performance Measure has been attained on or before the date of termination, and in such case shall vest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vest at the time of such termination but such vested portion shall remain subject to the attainment of the Performance Measure and shall not be settled unless and until the Compensation Committee has certified that the Performance Measure has been attained (and shall be settled at the time of such certification (if any)).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Award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or any portion thereof, as applicable, in accordance with Section 2(b) hereof.)</w:t>
      </w:r>
    </w:p>
    <w:p>
      <w:pPr>
        <w:spacing w:after="0" w:line="197" w:lineRule="exact"/>
        <w:rPr>
          <w:rFonts w:ascii="Arial" w:cs="Arial" w:eastAsia="Arial" w:hAnsi="Arial"/>
          <w:sz w:val="19"/>
          <w:szCs w:val="19"/>
          <w:color w:val="auto"/>
        </w:rPr>
      </w:pPr>
    </w:p>
    <w:p>
      <w:pPr>
        <w:ind w:right="80" w:firstLine="1305"/>
        <w:spacing w:after="0" w:line="252" w:lineRule="auto"/>
        <w:tabs>
          <w:tab w:leader="none" w:pos="2197"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Grantee’s Employment terminates for any reason other than death or disability or in connection with a Change of Control described in Section 2(c), this Award shall, to the extent not already vested as described herein, terminate immediately and be of no further force or effect; it being understood that this Award shall remain outstanding following the date of any termination with respect to any portion thereof subject to a Performance Measure that has vested (including pursuant to Sections 2(c)(y) or 4(a)(ii) hereof) until the Award is settled or terminated in accordance with Section 2(b).</w:t>
      </w:r>
    </w:p>
    <w:p>
      <w:pPr>
        <w:sectPr>
          <w:pgSz w:w="11900" w:h="16838" w:orient="portrait"/>
          <w:cols w:equalWidth="0" w:num="1">
            <w:col w:w="11380"/>
          </w:cols>
          <w:pgMar w:left="240" w:top="537" w:right="279" w:bottom="1440" w:gutter="0" w:footer="0" w:header="0"/>
        </w:sectPr>
      </w:pPr>
    </w:p>
    <w:bookmarkStart w:id="136" w:name="page137"/>
    <w:bookmarkEnd w:id="136"/>
    <w:p>
      <w:pPr>
        <w:ind w:right="160" w:firstLine="1297"/>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188" w:lineRule="exact"/>
        <w:rPr>
          <w:sz w:val="20"/>
          <w:szCs w:val="20"/>
          <w:color w:val="auto"/>
        </w:rPr>
      </w:pPr>
    </w:p>
    <w:p>
      <w:pPr>
        <w:ind w:left="2120" w:hanging="815"/>
        <w:spacing w:after="0"/>
        <w:tabs>
          <w:tab w:leader="none" w:pos="212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Effect of Certain Transactions</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45" w:lineRule="auto"/>
        <w:tabs>
          <w:tab w:leader="none" w:pos="2185"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Hypothetical Investments in the Stock Unit Fund</w:t>
      </w:r>
      <w:r>
        <w:rPr>
          <w:rFonts w:ascii="Arial" w:cs="Arial" w:eastAsia="Arial" w:hAnsi="Arial"/>
          <w:sz w:val="19"/>
          <w:szCs w:val="19"/>
          <w:color w:val="auto"/>
        </w:rPr>
        <w:t>. If the Grantee has elected a hypothetical investment in the Stock Unit Fund, upon a Covered Transaction in which holders of Shares will receive upon consummation a payment (whether cash, non-cash or a combination of the foregoing), then subject to Section 5(b)(iv) below, the Administrator may provide for payment (a “</w:t>
      </w:r>
      <w:r>
        <w:rPr>
          <w:rFonts w:ascii="Arial" w:cs="Arial" w:eastAsia="Arial" w:hAnsi="Arial"/>
          <w:sz w:val="19"/>
          <w:szCs w:val="19"/>
          <w:u w:val="single" w:color="auto"/>
          <w:color w:val="auto"/>
        </w:rPr>
        <w:t>cash-out</w:t>
      </w:r>
      <w:r>
        <w:rPr>
          <w:rFonts w:ascii="Arial" w:cs="Arial" w:eastAsia="Arial" w:hAnsi="Arial"/>
          <w:sz w:val="19"/>
          <w:szCs w:val="19"/>
          <w:color w:val="auto"/>
        </w:rPr>
        <w:t xml:space="preserve">”), with respect to the Award or any portion thereof, equal to the fair market value of one Share (as determined by the Administrator in its reasonable discretion) times the number of Stock Units subject to the Award or such portion, on such payment terms (which need not be the same as the terms of payment to holders of Shares) and other terms, and subject to such conditions, as the Administrator determines; </w:t>
      </w:r>
      <w:r>
        <w:rPr>
          <w:rFonts w:ascii="Arial" w:cs="Arial" w:eastAsia="Arial" w:hAnsi="Arial"/>
          <w:sz w:val="19"/>
          <w:szCs w:val="19"/>
          <w:u w:val="single" w:color="auto"/>
          <w:color w:val="auto"/>
        </w:rPr>
        <w:t>provided that</w:t>
      </w:r>
      <w:r>
        <w:rPr>
          <w:rFonts w:ascii="Arial" w:cs="Arial" w:eastAsia="Arial" w:hAnsi="Arial"/>
          <w:sz w:val="19"/>
          <w:szCs w:val="19"/>
          <w:color w:val="auto"/>
        </w:rPr>
        <w:t>, the Administrator shall not exercise its discretion under this Section 5(a) with respect to this Award in a manner that would constitute an extension or acceleration of, or other change in, payment terms if such change would be inconsistent with the applicable requirements of Section 409A.</w:t>
      </w:r>
    </w:p>
    <w:p>
      <w:pPr>
        <w:spacing w:after="0" w:line="194" w:lineRule="exact"/>
        <w:rPr>
          <w:rFonts w:ascii="Arial" w:cs="Arial" w:eastAsia="Arial" w:hAnsi="Arial"/>
          <w:sz w:val="19"/>
          <w:szCs w:val="19"/>
          <w:color w:val="auto"/>
        </w:rPr>
      </w:pPr>
    </w:p>
    <w:p>
      <w:pPr>
        <w:ind w:right="1080" w:firstLine="1305"/>
        <w:spacing w:after="0" w:line="232" w:lineRule="auto"/>
        <w:tabs>
          <w:tab w:leader="none" w:pos="2197"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All Hypothetical Investments</w:t>
      </w:r>
      <w:r>
        <w:rPr>
          <w:rFonts w:ascii="Arial" w:cs="Arial" w:eastAsia="Arial" w:hAnsi="Arial"/>
          <w:sz w:val="22"/>
          <w:szCs w:val="22"/>
          <w:color w:val="auto"/>
        </w:rPr>
        <w:t>. The provisions of this Section 5(b) shall apply regardless of the hypothetical investment elected by the Grantee.</w:t>
      </w:r>
    </w:p>
    <w:p>
      <w:pPr>
        <w:spacing w:after="0" w:line="253" w:lineRule="exact"/>
        <w:rPr>
          <w:rFonts w:ascii="Arial" w:cs="Arial" w:eastAsia="Arial" w:hAnsi="Arial"/>
          <w:sz w:val="22"/>
          <w:szCs w:val="22"/>
          <w:color w:val="auto"/>
        </w:rPr>
      </w:pPr>
    </w:p>
    <w:p>
      <w:pPr>
        <w:jc w:val="both"/>
        <w:ind w:firstLine="1953"/>
        <w:spacing w:after="0" w:line="234" w:lineRule="auto"/>
        <w:tabs>
          <w:tab w:leader="none" w:pos="2707" w:val="left"/>
        </w:tabs>
        <w:numPr>
          <w:ilvl w:val="1"/>
          <w:numId w:val="155"/>
        </w:numPr>
        <w:rPr>
          <w:rFonts w:ascii="Arial" w:cs="Arial" w:eastAsia="Arial" w:hAnsi="Arial"/>
          <w:sz w:val="21"/>
          <w:szCs w:val="21"/>
          <w:color w:val="auto"/>
        </w:rPr>
      </w:pPr>
      <w:r>
        <w:rPr>
          <w:rFonts w:ascii="Arial" w:cs="Arial" w:eastAsia="Arial" w:hAnsi="Arial"/>
          <w:sz w:val="21"/>
          <w:szCs w:val="21"/>
          <w:i w:val="1"/>
          <w:iCs w:val="1"/>
          <w:color w:val="auto"/>
        </w:rPr>
        <w:t xml:space="preserve">Assumption or Substitution. </w:t>
      </w:r>
      <w:r>
        <w:rPr>
          <w:rFonts w:ascii="Arial" w:cs="Arial" w:eastAsia="Arial" w:hAnsi="Arial"/>
          <w:sz w:val="21"/>
          <w:szCs w:val="21"/>
          <w:color w:val="auto"/>
        </w:rPr>
        <w:t>In the event of a Covered Transaction, if the Covered Transaction is one</w:t>
      </w:r>
      <w:r>
        <w:rPr>
          <w:rFonts w:ascii="Arial" w:cs="Arial" w:eastAsia="Arial" w:hAnsi="Arial"/>
          <w:sz w:val="21"/>
          <w:szCs w:val="21"/>
          <w:i w:val="1"/>
          <w:iCs w:val="1"/>
          <w:color w:val="auto"/>
        </w:rPr>
        <w:t xml:space="preserve"> </w:t>
      </w:r>
      <w:r>
        <w:rPr>
          <w:rFonts w:ascii="Arial" w:cs="Arial" w:eastAsia="Arial" w:hAnsi="Arial"/>
          <w:sz w:val="21"/>
          <w:szCs w:val="21"/>
          <w:color w:val="auto"/>
        </w:rPr>
        <w:t>in which there is an acquiring or surviving entity, the Administrator may provide for the assumption of the Award or for the grant of a new award in substitution therefor by the acquiror or survivor or an affiliate of the acquiror or survivor.</w:t>
      </w:r>
    </w:p>
    <w:p>
      <w:pPr>
        <w:spacing w:after="0" w:line="198" w:lineRule="exact"/>
        <w:rPr>
          <w:rFonts w:ascii="Arial" w:cs="Arial" w:eastAsia="Arial" w:hAnsi="Arial"/>
          <w:sz w:val="21"/>
          <w:szCs w:val="21"/>
          <w:color w:val="auto"/>
        </w:rPr>
      </w:pPr>
    </w:p>
    <w:p>
      <w:pPr>
        <w:ind w:firstLine="1953"/>
        <w:spacing w:after="0" w:line="223" w:lineRule="auto"/>
        <w:tabs>
          <w:tab w:leader="none" w:pos="2767" w:val="left"/>
        </w:tabs>
        <w:numPr>
          <w:ilvl w:val="1"/>
          <w:numId w:val="155"/>
        </w:numPr>
        <w:rPr>
          <w:rFonts w:ascii="Arial" w:cs="Arial" w:eastAsia="Arial" w:hAnsi="Arial"/>
          <w:sz w:val="21"/>
          <w:szCs w:val="21"/>
          <w:color w:val="auto"/>
        </w:rPr>
      </w:pPr>
      <w:r>
        <w:rPr>
          <w:rFonts w:ascii="Arial" w:cs="Arial" w:eastAsia="Arial" w:hAnsi="Arial"/>
          <w:sz w:val="21"/>
          <w:szCs w:val="21"/>
          <w:i w:val="1"/>
          <w:iCs w:val="1"/>
          <w:color w:val="auto"/>
        </w:rPr>
        <w:t xml:space="preserve">Acceleration. </w:t>
      </w:r>
      <w:r>
        <w:rPr>
          <w:rFonts w:ascii="Arial" w:cs="Arial" w:eastAsia="Arial" w:hAnsi="Arial"/>
          <w:sz w:val="21"/>
          <w:szCs w:val="21"/>
          <w:color w:val="auto"/>
        </w:rPr>
        <w:t>If the Covered Transaction (whether or not there is an acquiring or surviving entity) 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one in which there is no assumption, substitution or cash-out, then subject to Section 5(b)(iv) below, this Award will be accelerated and settled, prior to the Covered Transaction; </w:t>
      </w:r>
      <w:r>
        <w:rPr>
          <w:rFonts w:ascii="Arial" w:cs="Arial" w:eastAsia="Arial" w:hAnsi="Arial"/>
          <w:sz w:val="21"/>
          <w:szCs w:val="21"/>
          <w:u w:val="single" w:color="auto"/>
          <w:color w:val="auto"/>
        </w:rPr>
        <w:t>provided that</w:t>
      </w:r>
      <w:r>
        <w:rPr>
          <w:rFonts w:ascii="Arial" w:cs="Arial" w:eastAsia="Arial" w:hAnsi="Arial"/>
          <w:sz w:val="21"/>
          <w:szCs w:val="21"/>
          <w:color w:val="auto"/>
        </w:rPr>
        <w:t>, to the extent acceleration pursuant to this Section 5(b)(ii) would cause the Award to fail to satisfy the requirements of Section 409A (if subject to such requirements), the Award shall not be accelerated and the Administrator in lieu thereof shall take such steps as are necessary to ensure that payment of the Award is made in a medium other than Shares and on terms that as nearly as possible, but taking into account adjustments required or permitted by this Section 5, replicate the prior terms of the Award.</w:t>
      </w:r>
    </w:p>
    <w:p>
      <w:pPr>
        <w:spacing w:after="0" w:line="198" w:lineRule="exact"/>
        <w:rPr>
          <w:rFonts w:ascii="Arial" w:cs="Arial" w:eastAsia="Arial" w:hAnsi="Arial"/>
          <w:sz w:val="21"/>
          <w:szCs w:val="21"/>
          <w:color w:val="auto"/>
        </w:rPr>
      </w:pPr>
    </w:p>
    <w:p>
      <w:pPr>
        <w:ind w:right="320" w:firstLine="1953"/>
        <w:spacing w:after="0" w:line="218" w:lineRule="auto"/>
        <w:tabs>
          <w:tab w:leader="none" w:pos="2827" w:val="left"/>
        </w:tabs>
        <w:numPr>
          <w:ilvl w:val="1"/>
          <w:numId w:val="155"/>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Award Upon Consummation of Covered Transaction. </w:t>
      </w:r>
      <w:r>
        <w:rPr>
          <w:rFonts w:ascii="Arial" w:cs="Arial" w:eastAsia="Arial" w:hAnsi="Arial"/>
          <w:sz w:val="22"/>
          <w:szCs w:val="22"/>
          <w:color w:val="auto"/>
        </w:rPr>
        <w:t>This Award will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upon consummation of the Covered Transaction, unless: (i) the Award is assumed pursuant to Section 5(b)(i) above; or (ii) the Award is converted pursuant to the proviso in Section 5(b)(ii) above into an ongoing right to receive payment in a medium other than Shares.</w:t>
      </w:r>
    </w:p>
    <w:p>
      <w:pPr>
        <w:spacing w:after="0" w:line="201" w:lineRule="exact"/>
        <w:rPr>
          <w:rFonts w:ascii="Arial" w:cs="Arial" w:eastAsia="Arial" w:hAnsi="Arial"/>
          <w:sz w:val="22"/>
          <w:szCs w:val="22"/>
          <w:color w:val="auto"/>
        </w:rPr>
      </w:pPr>
    </w:p>
    <w:p>
      <w:pPr>
        <w:ind w:right="40" w:firstLine="1953"/>
        <w:spacing w:after="0" w:line="214" w:lineRule="auto"/>
        <w:tabs>
          <w:tab w:leader="none" w:pos="2801" w:val="left"/>
        </w:tabs>
        <w:numPr>
          <w:ilvl w:val="1"/>
          <w:numId w:val="155"/>
        </w:numPr>
        <w:rPr>
          <w:rFonts w:ascii="Arial" w:cs="Arial" w:eastAsia="Arial" w:hAnsi="Arial"/>
          <w:sz w:val="22"/>
          <w:szCs w:val="22"/>
          <w:color w:val="auto"/>
        </w:rPr>
      </w:pPr>
      <w:r>
        <w:rPr>
          <w:rFonts w:ascii="Arial" w:cs="Arial" w:eastAsia="Arial" w:hAnsi="Arial"/>
          <w:sz w:val="22"/>
          <w:szCs w:val="22"/>
          <w:i w:val="1"/>
          <w:iCs w:val="1"/>
          <w:color w:val="auto"/>
        </w:rPr>
        <w:t xml:space="preserve">Additional Limitations. </w:t>
      </w:r>
      <w:r>
        <w:rPr>
          <w:rFonts w:ascii="Arial" w:cs="Arial" w:eastAsia="Arial" w:hAnsi="Arial"/>
          <w:sz w:val="22"/>
          <w:szCs w:val="22"/>
          <w:color w:val="auto"/>
        </w:rPr>
        <w:t>Any Shares and any cash or other property delivered pursuant to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5(a) or Section 5(b)(ii) above with respect to the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5(a) above shall not, in and of itself, be treated as the lapsing (or satisfaction) of a performance or other vesting condition.</w:t>
      </w:r>
    </w:p>
    <w:p>
      <w:pPr>
        <w:sectPr>
          <w:pgSz w:w="11900" w:h="16838" w:orient="portrait"/>
          <w:cols w:equalWidth="0" w:num="1">
            <w:col w:w="11420"/>
          </w:cols>
          <w:pgMar w:left="240" w:top="564" w:right="239" w:bottom="1440" w:gutter="0" w:footer="0" w:header="0"/>
        </w:sectPr>
      </w:pPr>
    </w:p>
    <w:bookmarkStart w:id="137" w:name="page138"/>
    <w:bookmarkEnd w:id="137"/>
    <w:p>
      <w:pPr>
        <w:ind w:right="80" w:firstLine="1305"/>
        <w:spacing w:after="0" w:line="232" w:lineRule="auto"/>
        <w:tabs>
          <w:tab w:leader="none" w:pos="2185"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Changes in and Distributions with Respect to Shares</w:t>
      </w:r>
      <w:r>
        <w:rPr>
          <w:rFonts w:ascii="Arial" w:cs="Arial" w:eastAsia="Arial" w:hAnsi="Arial"/>
          <w:sz w:val="22"/>
          <w:szCs w:val="22"/>
          <w:color w:val="auto"/>
        </w:rPr>
        <w:t>. The provisions of this Section 5(c) shall apply if the Grantee has elected a hypothetical investment in the Stock Unit Fund.</w:t>
      </w:r>
    </w:p>
    <w:p>
      <w:pPr>
        <w:spacing w:after="0" w:line="253" w:lineRule="exact"/>
        <w:rPr>
          <w:rFonts w:ascii="Arial" w:cs="Arial" w:eastAsia="Arial" w:hAnsi="Arial"/>
          <w:sz w:val="22"/>
          <w:szCs w:val="22"/>
          <w:color w:val="auto"/>
        </w:rPr>
      </w:pPr>
    </w:p>
    <w:p>
      <w:pPr>
        <w:jc w:val="both"/>
        <w:ind w:right="100" w:firstLine="1953"/>
        <w:spacing w:after="0" w:line="218" w:lineRule="auto"/>
        <w:tabs>
          <w:tab w:leader="none" w:pos="2707" w:val="left"/>
        </w:tabs>
        <w:numPr>
          <w:ilvl w:val="1"/>
          <w:numId w:val="156"/>
        </w:numPr>
        <w:rPr>
          <w:rFonts w:ascii="Arial" w:cs="Arial" w:eastAsia="Arial" w:hAnsi="Arial"/>
          <w:sz w:val="22"/>
          <w:szCs w:val="22"/>
          <w:color w:val="auto"/>
        </w:rPr>
      </w:pPr>
      <w:r>
        <w:rPr>
          <w:rFonts w:ascii="Arial" w:cs="Arial" w:eastAsia="Arial" w:hAnsi="Arial"/>
          <w:sz w:val="22"/>
          <w:szCs w:val="22"/>
          <w:i w:val="1"/>
          <w:iCs w:val="1"/>
          <w:color w:val="auto"/>
        </w:rPr>
        <w:t>Basic Adjustment Provisions</w:t>
      </w:r>
      <w:r>
        <w:rPr>
          <w:rFonts w:ascii="Arial" w:cs="Arial" w:eastAsia="Arial" w:hAnsi="Arial"/>
          <w:sz w:val="22"/>
          <w:szCs w:val="22"/>
          <w:color w:val="auto"/>
        </w:rPr>
        <w:t>. In the event of a stock dividend, stock split or combination of shares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 reverse stock split), recapitalization or other change in the Company’s capital structure, the Administrator shall make appropriate adjustments to the number and kind of Stock Units subject to the Award and any other provision of Awards affected by such change.</w:t>
      </w:r>
    </w:p>
    <w:p>
      <w:pPr>
        <w:spacing w:after="0" w:line="201" w:lineRule="exact"/>
        <w:rPr>
          <w:rFonts w:ascii="Arial" w:cs="Arial" w:eastAsia="Arial" w:hAnsi="Arial"/>
          <w:sz w:val="22"/>
          <w:szCs w:val="22"/>
          <w:color w:val="auto"/>
        </w:rPr>
      </w:pPr>
    </w:p>
    <w:p>
      <w:pPr>
        <w:jc w:val="both"/>
        <w:ind w:right="80" w:firstLine="1953"/>
        <w:spacing w:after="0" w:line="229" w:lineRule="auto"/>
        <w:tabs>
          <w:tab w:leader="none" w:pos="2767" w:val="left"/>
        </w:tabs>
        <w:numPr>
          <w:ilvl w:val="1"/>
          <w:numId w:val="156"/>
        </w:numPr>
        <w:rPr>
          <w:rFonts w:ascii="Arial" w:cs="Arial" w:eastAsia="Arial" w:hAnsi="Arial"/>
          <w:sz w:val="21"/>
          <w:szCs w:val="21"/>
          <w:color w:val="auto"/>
        </w:rPr>
      </w:pPr>
      <w:r>
        <w:rPr>
          <w:rFonts w:ascii="Arial" w:cs="Arial" w:eastAsia="Arial" w:hAnsi="Arial"/>
          <w:sz w:val="21"/>
          <w:szCs w:val="21"/>
          <w:i w:val="1"/>
          <w:iCs w:val="1"/>
          <w:color w:val="auto"/>
        </w:rPr>
        <w:t>Certain Other Adjustments</w:t>
      </w:r>
      <w:r>
        <w:rPr>
          <w:rFonts w:ascii="Arial" w:cs="Arial" w:eastAsia="Arial" w:hAnsi="Arial"/>
          <w:sz w:val="21"/>
          <w:szCs w:val="21"/>
          <w:color w:val="auto"/>
        </w:rPr>
        <w:t>. The Administrator may also make adjustments of the type described in</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5(c)(i) above to take into account distributions to stockholders other than those provided for in Section 5(c)(i), or any other event, if the Administrator determines that adjustments are appropriate to avoid distortion in the operation of the Plan and to preserve the value of the Award, having due regard for the requirements of Section 409A.</w:t>
      </w:r>
    </w:p>
    <w:p>
      <w:pPr>
        <w:spacing w:after="0" w:line="199" w:lineRule="exact"/>
        <w:rPr>
          <w:sz w:val="20"/>
          <w:szCs w:val="20"/>
          <w:color w:val="auto"/>
        </w:rPr>
      </w:pPr>
    </w:p>
    <w:p>
      <w:pPr>
        <w:ind w:firstLine="1305"/>
        <w:spacing w:after="0" w:line="220" w:lineRule="auto"/>
        <w:tabs>
          <w:tab w:leader="none" w:pos="2107"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Vesting and Settlement</w:t>
      </w:r>
      <w:r>
        <w:rPr>
          <w:rFonts w:ascii="Arial" w:cs="Arial" w:eastAsia="Arial" w:hAnsi="Arial"/>
          <w:sz w:val="21"/>
          <w:szCs w:val="21"/>
          <w:color w:val="auto"/>
        </w:rPr>
        <w:t xml:space="preserve">. If, in accordance with Section 1, the Grantee elects to invest the Award in the Stock Unit Fund, any portion of the Award that becomes vested shall be settled by the Company to the Grantee in Shares (subject to Section 5 above) following, if applicable, attainment of any Performance Measures. If, in accordance with Section 1, the Grantee elects to invest the Award in any other hypothetical investment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any portion of the Award that becomes vested shall be settled by the Company to the Grantee in cash (subject to Section 5 above) following, if applicable, attainment of any Performance Measures. Settlement of the Award shall be pursuant to Section 2 hereof, and the vesting schedule and, if applicable, performance requirements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with the issuance and distribution of Shares or payment in cash, as applicable, in settlement of the Award to occur, in all cases, no later than March 15 of the year following the year in which the Award vests, in accordance with the short-term deferral exception under Section 409A and the regulations and guidance thereunder. Notwithstanding anything to the contrary in the Plan, settlement of this Award does not require a request for distribution from the Grantee.</w:t>
      </w:r>
    </w:p>
    <w:p>
      <w:pPr>
        <w:spacing w:after="0" w:line="226" w:lineRule="exact"/>
        <w:rPr>
          <w:sz w:val="20"/>
          <w:szCs w:val="20"/>
          <w:color w:val="auto"/>
        </w:rPr>
      </w:pPr>
    </w:p>
    <w:p>
      <w:pPr>
        <w:ind w:right="540" w:firstLine="1297"/>
        <w:spacing w:after="0" w:line="287" w:lineRule="auto"/>
        <w:rPr>
          <w:sz w:val="20"/>
          <w:szCs w:val="20"/>
          <w:color w:val="auto"/>
        </w:rPr>
      </w:pPr>
      <w:r>
        <w:rPr>
          <w:rFonts w:ascii="Arial" w:cs="Arial" w:eastAsia="Arial" w:hAnsi="Arial"/>
          <w:sz w:val="21"/>
          <w:szCs w:val="21"/>
          <w:color w:val="auto"/>
        </w:rPr>
        <w:t>Any sales of Shares are subject to the Company’s insider trading policy, equity ownership guidelines and other Company policies as may be in effect from time to time or otherwise established by the Administrator.</w:t>
      </w:r>
    </w:p>
    <w:p>
      <w:pPr>
        <w:spacing w:after="0" w:line="165" w:lineRule="exact"/>
        <w:rPr>
          <w:sz w:val="20"/>
          <w:szCs w:val="20"/>
          <w:color w:val="auto"/>
        </w:rPr>
      </w:pPr>
    </w:p>
    <w:p>
      <w:pPr>
        <w:ind w:right="60" w:firstLine="1305"/>
        <w:spacing w:after="0" w:line="244" w:lineRule="auto"/>
        <w:tabs>
          <w:tab w:leader="none" w:pos="210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In the case of a Grantee who has elected a hypothetical investment in the Stock Unit Fund, if the Company makes any cash dividends or other cash distributions to the holders of Shares, the Grantee shall have the right to receive payments in lieu thereof in respect of the Stock Units (“</w:t>
      </w: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such a cash dividend or other cash distribution prior to the settlement or termination of the Award, the Company shall credit the Grantee’s Account as of the record date of such cash dividend or other cash distribution with an amount equal to the per-Share cash dividend or other cash distribution paid by the Company multiplied by the number of Stock Units. Such amounts shall be subject to the same vesting, payment (without interest), issuance, distribution, and other terms and conditions applicable to the Award as provided in this Agreement, including, for the avoidance of doubt, the attainment of any Performance Measure, as certified by the Compensation Committee. Notwithstanding anything to the contrary in the Plan, such amounts shall not be deemed invested in the Stock Unit Fund and shall not reflect the performance of the Stock Units.</w:t>
      </w:r>
    </w:p>
    <w:p>
      <w:pPr>
        <w:spacing w:after="0" w:line="196" w:lineRule="exact"/>
        <w:rPr>
          <w:rFonts w:ascii="Arial" w:cs="Arial" w:eastAsia="Arial" w:hAnsi="Arial"/>
          <w:sz w:val="19"/>
          <w:szCs w:val="19"/>
          <w:color w:val="auto"/>
        </w:rPr>
      </w:pPr>
    </w:p>
    <w:p>
      <w:pPr>
        <w:ind w:right="200" w:firstLine="1305"/>
        <w:spacing w:after="0" w:line="232" w:lineRule="auto"/>
        <w:tabs>
          <w:tab w:leader="none" w:pos="2107"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This Award shall not be interpreted to bestow upon a Grantee, including any Grantee who has elected a hypothetical investment in the Stock Unit Fund, any equity</w:t>
      </w:r>
    </w:p>
    <w:p>
      <w:pPr>
        <w:sectPr>
          <w:pgSz w:w="11900" w:h="16838" w:orient="portrait"/>
          <w:cols w:equalWidth="0" w:num="1">
            <w:col w:w="11420"/>
          </w:cols>
          <w:pgMar w:left="240" w:top="847" w:right="239" w:bottom="1440" w:gutter="0" w:footer="0" w:header="0"/>
        </w:sectPr>
      </w:pPr>
    </w:p>
    <w:bookmarkStart w:id="138" w:name="page139"/>
    <w:bookmarkEnd w:id="138"/>
    <w:p>
      <w:pPr>
        <w:ind w:right="200"/>
        <w:spacing w:after="0" w:line="268" w:lineRule="auto"/>
        <w:rPr>
          <w:sz w:val="20"/>
          <w:szCs w:val="20"/>
          <w:color w:val="auto"/>
        </w:rPr>
      </w:pPr>
      <w:r>
        <w:rPr>
          <w:rFonts w:ascii="Arial" w:cs="Arial" w:eastAsia="Arial" w:hAnsi="Arial"/>
          <w:sz w:val="19"/>
          <w:szCs w:val="19"/>
          <w:color w:val="auto"/>
        </w:rPr>
        <w:t>interest or ownership in the Company or any subsidiary or Affiliate prior to the dates on which the Company delivers Shares (if any) to the Grantee in settlement of this Award. The Grantee shall have no rights as a shareholder with respect to the Stock Units, and shall have the rights of a shareholder only as to those Shares, if any, that are actually delivered under this Award.</w:t>
      </w:r>
    </w:p>
    <w:p>
      <w:pPr>
        <w:spacing w:after="0" w:line="173" w:lineRule="exact"/>
        <w:rPr>
          <w:sz w:val="20"/>
          <w:szCs w:val="20"/>
          <w:color w:val="auto"/>
        </w:rPr>
      </w:pPr>
    </w:p>
    <w:p>
      <w:pPr>
        <w:ind w:left="2120" w:hanging="815"/>
        <w:spacing w:after="0"/>
        <w:tabs>
          <w:tab w:leader="none" w:pos="212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74" w:lineRule="exact"/>
        <w:rPr>
          <w:sz w:val="20"/>
          <w:szCs w:val="20"/>
          <w:color w:val="auto"/>
        </w:rPr>
      </w:pPr>
    </w:p>
    <w:p>
      <w:pPr>
        <w:ind w:right="40" w:firstLine="1305"/>
        <w:spacing w:after="0" w:line="239" w:lineRule="auto"/>
        <w:tabs>
          <w:tab w:leader="none" w:pos="2185"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 consideration of the Award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w:t>
      </w:r>
    </w:p>
    <w:p>
      <w:pPr>
        <w:spacing w:after="0" w:line="3" w:lineRule="exact"/>
        <w:rPr>
          <w:rFonts w:ascii="Arial" w:cs="Arial" w:eastAsia="Arial" w:hAnsi="Arial"/>
          <w:sz w:val="19"/>
          <w:szCs w:val="19"/>
          <w:color w:val="auto"/>
        </w:rPr>
      </w:pPr>
    </w:p>
    <w:p>
      <w:pPr>
        <w:ind w:right="40" w:firstLine="8"/>
        <w:spacing w:after="0" w:line="251" w:lineRule="auto"/>
        <w:tabs>
          <w:tab w:leader="none" w:pos="35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216"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189" w:lineRule="exact"/>
        <w:rPr>
          <w:sz w:val="20"/>
          <w:szCs w:val="20"/>
          <w:color w:val="auto"/>
        </w:rPr>
      </w:pPr>
    </w:p>
    <w:p>
      <w:pPr>
        <w:ind w:firstLine="1305"/>
        <w:spacing w:after="0" w:line="252" w:lineRule="auto"/>
        <w:tabs>
          <w:tab w:leader="none" w:pos="219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189" w:lineRule="exact"/>
        <w:rPr>
          <w:rFonts w:ascii="Arial" w:cs="Arial" w:eastAsia="Arial" w:hAnsi="Arial"/>
          <w:sz w:val="19"/>
          <w:szCs w:val="19"/>
          <w:color w:val="auto"/>
        </w:rPr>
      </w:pPr>
    </w:p>
    <w:p>
      <w:pPr>
        <w:ind w:right="140" w:firstLine="1305"/>
        <w:spacing w:after="0" w:line="243" w:lineRule="auto"/>
        <w:tabs>
          <w:tab w:leader="none" w:pos="2185"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Sections 9(a) and (b) of this Agreement, the Grantee agrees, for the benefit of the Company and its subsidiaries and Affiliates, that the Grantee shall not, during the term of his or her Employment (or other applicable service relationship) with the Company or any of its subsidiaries or Affiliates and for one</w:t>
      </w:r>
    </w:p>
    <w:p>
      <w:pPr>
        <w:spacing w:after="0" w:line="2" w:lineRule="exact"/>
        <w:rPr>
          <w:rFonts w:ascii="Arial" w:cs="Arial" w:eastAsia="Arial" w:hAnsi="Arial"/>
          <w:sz w:val="19"/>
          <w:szCs w:val="19"/>
          <w:color w:val="auto"/>
        </w:rPr>
      </w:pPr>
    </w:p>
    <w:p>
      <w:pPr>
        <w:ind w:right="500" w:firstLine="8"/>
        <w:spacing w:after="0" w:line="217" w:lineRule="auto"/>
        <w:tabs>
          <w:tab w:leader="none" w:pos="30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ectPr>
          <w:pgSz w:w="11900" w:h="16838" w:orient="portrait"/>
          <w:cols w:equalWidth="0" w:num="1">
            <w:col w:w="11400"/>
          </w:cols>
          <w:pgMar w:left="240" w:top="537" w:right="259" w:bottom="1440" w:gutter="0" w:footer="0" w:header="0"/>
        </w:sectPr>
      </w:pPr>
    </w:p>
    <w:bookmarkStart w:id="139" w:name="page140"/>
    <w:bookmarkEnd w:id="139"/>
    <w:p>
      <w:pPr>
        <w:ind w:right="620" w:firstLine="1953"/>
        <w:spacing w:after="0" w:line="232" w:lineRule="auto"/>
        <w:tabs>
          <w:tab w:leader="none" w:pos="270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199" w:lineRule="exact"/>
        <w:rPr>
          <w:rFonts w:ascii="Arial" w:cs="Arial" w:eastAsia="Arial" w:hAnsi="Arial"/>
          <w:sz w:val="22"/>
          <w:szCs w:val="22"/>
          <w:color w:val="auto"/>
        </w:rPr>
      </w:pPr>
    </w:p>
    <w:p>
      <w:pPr>
        <w:ind w:right="40" w:firstLine="1953"/>
        <w:spacing w:after="0" w:line="252" w:lineRule="auto"/>
        <w:tabs>
          <w:tab w:leader="none" w:pos="276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189" w:lineRule="exact"/>
        <w:rPr>
          <w:rFonts w:ascii="Arial" w:cs="Arial" w:eastAsia="Arial" w:hAnsi="Arial"/>
          <w:sz w:val="19"/>
          <w:szCs w:val="19"/>
          <w:color w:val="auto"/>
        </w:rPr>
      </w:pPr>
    </w:p>
    <w:p>
      <w:pPr>
        <w:ind w:right="240" w:firstLine="1953"/>
        <w:spacing w:after="0" w:line="298" w:lineRule="auto"/>
        <w:tabs>
          <w:tab w:leader="none" w:pos="282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6" w:lineRule="exact"/>
        <w:rPr>
          <w:rFonts w:ascii="Arial" w:cs="Arial" w:eastAsia="Arial" w:hAnsi="Arial"/>
          <w:sz w:val="19"/>
          <w:szCs w:val="19"/>
          <w:color w:val="auto"/>
        </w:rPr>
      </w:pPr>
    </w:p>
    <w:p>
      <w:pPr>
        <w:ind w:right="240" w:firstLine="1953"/>
        <w:spacing w:after="0" w:line="232" w:lineRule="auto"/>
        <w:tabs>
          <w:tab w:leader="none" w:pos="280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81"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9(c) shall not be applicable to Clients (including Potential Clients) who are also immediate family members of the Grantee.</w:t>
      </w:r>
    </w:p>
    <w:p>
      <w:pPr>
        <w:spacing w:after="0" w:line="148" w:lineRule="exact"/>
        <w:rPr>
          <w:sz w:val="20"/>
          <w:szCs w:val="20"/>
          <w:color w:val="auto"/>
        </w:rPr>
      </w:pPr>
    </w:p>
    <w:p>
      <w:pPr>
        <w:ind w:right="180" w:firstLine="1305"/>
        <w:spacing w:after="0" w:line="218" w:lineRule="auto"/>
        <w:tabs>
          <w:tab w:leader="none" w:pos="219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9(a),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01" w:lineRule="exact"/>
        <w:rPr>
          <w:rFonts w:ascii="Arial" w:cs="Arial" w:eastAsia="Arial" w:hAnsi="Arial"/>
          <w:sz w:val="22"/>
          <w:szCs w:val="22"/>
          <w:color w:val="auto"/>
        </w:rPr>
      </w:pPr>
    </w:p>
    <w:p>
      <w:pPr>
        <w:ind w:firstLine="1305"/>
        <w:spacing w:after="0" w:line="241" w:lineRule="auto"/>
        <w:tabs>
          <w:tab w:leader="none" w:pos="218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The Grantee agrees that Proprietary Information of the Company or any subsidiary or Affiliate thereof is and will be the exclusive property of the Company or such subsidiary or Affiliate, as</w:t>
      </w:r>
    </w:p>
    <w:p>
      <w:pPr>
        <w:sectPr>
          <w:pgSz w:w="11900" w:h="16838" w:orient="portrait"/>
          <w:cols w:equalWidth="0" w:num="1">
            <w:col w:w="11380"/>
          </w:cols>
          <w:pgMar w:left="240" w:top="537" w:right="279" w:bottom="1440" w:gutter="0" w:footer="0" w:header="0"/>
        </w:sectPr>
      </w:pPr>
    </w:p>
    <w:bookmarkStart w:id="140" w:name="page141"/>
    <w:bookmarkEnd w:id="140"/>
    <w:p>
      <w:pPr>
        <w:spacing w:after="0" w:line="218" w:lineRule="auto"/>
        <w:rPr>
          <w:sz w:val="20"/>
          <w:szCs w:val="20"/>
          <w:color w:val="auto"/>
        </w:rPr>
      </w:pPr>
      <w:r>
        <w:rPr>
          <w:rFonts w:ascii="Arial" w:cs="Arial" w:eastAsia="Arial" w:hAnsi="Arial"/>
          <w:sz w:val="21"/>
          <w:szCs w:val="21"/>
          <w:color w:val="auto"/>
        </w:rPr>
        <w:t xml:space="preserve">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9(e) shall not (i) apply to any knowledge, information or property which (x) is generally known or available to 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this immunity from liability, the Grantee may be held liable if he or she accesses trade secrets by unauthorized means.</w:t>
      </w:r>
    </w:p>
    <w:p>
      <w:pPr>
        <w:spacing w:after="0" w:line="208" w:lineRule="exact"/>
        <w:rPr>
          <w:sz w:val="20"/>
          <w:szCs w:val="20"/>
          <w:color w:val="auto"/>
        </w:rPr>
      </w:pPr>
    </w:p>
    <w:p>
      <w:pPr>
        <w:ind w:right="20" w:firstLine="1305"/>
        <w:spacing w:after="0" w:line="242" w:lineRule="auto"/>
        <w:tabs>
          <w:tab w:leader="none" w:pos="216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ind w:right="140" w:firstLine="1305"/>
        <w:spacing w:after="0" w:line="222" w:lineRule="auto"/>
        <w:tabs>
          <w:tab w:leader="none" w:pos="2197" w:val="left"/>
        </w:tabs>
        <w:numPr>
          <w:ilvl w:val="0"/>
          <w:numId w:val="166"/>
        </w:numPr>
        <w:rPr>
          <w:rFonts w:ascii="Arial" w:cs="Arial" w:eastAsia="Arial" w:hAnsi="Arial"/>
          <w:sz w:val="21"/>
          <w:szCs w:val="21"/>
          <w:color w:val="auto"/>
        </w:rPr>
      </w:pPr>
      <w:r>
        <w:rPr>
          <w:rFonts w:ascii="Arial" w:cs="Arial" w:eastAsia="Arial" w:hAnsi="Arial"/>
          <w:sz w:val="21"/>
          <w:szCs w:val="21"/>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252" w:lineRule="exact"/>
        <w:rPr>
          <w:rFonts w:ascii="Arial" w:cs="Arial" w:eastAsia="Arial" w:hAnsi="Arial"/>
          <w:sz w:val="21"/>
          <w:szCs w:val="21"/>
          <w:color w:val="auto"/>
        </w:rPr>
      </w:pPr>
    </w:p>
    <w:p>
      <w:pPr>
        <w:ind w:right="240" w:firstLine="1305"/>
        <w:spacing w:after="0" w:line="223" w:lineRule="auto"/>
        <w:tabs>
          <w:tab w:leader="none" w:pos="219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9 is determined by any court of competent jurisdiction to be unenforceable by reason of its being extended over too great a time, too large a geographic area or too great a range of activities, the applicable</w:t>
      </w:r>
    </w:p>
    <w:p>
      <w:pPr>
        <w:sectPr>
          <w:pgSz w:w="11900" w:h="16838" w:orient="portrait"/>
          <w:cols w:equalWidth="0" w:num="1">
            <w:col w:w="11420"/>
          </w:cols>
          <w:pgMar w:left="240" w:top="537"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provision shall be deemed to be modified to permit its enforcement to the maximum extent permitted by law.</w:t>
      </w:r>
    </w:p>
    <w:p>
      <w:pPr>
        <w:spacing w:after="0" w:line="220" w:lineRule="exact"/>
        <w:rPr>
          <w:sz w:val="20"/>
          <w:szCs w:val="20"/>
          <w:color w:val="auto"/>
        </w:rPr>
      </w:pPr>
    </w:p>
    <w:p>
      <w:pPr>
        <w:ind w:right="20" w:firstLine="1305"/>
        <w:spacing w:after="0"/>
        <w:tabs>
          <w:tab w:leader="none" w:pos="2215"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Grantee breaches any of the provisions of Section 9 of this Agreement, including, without limitation, following the termination of the 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10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03" w:lineRule="exact"/>
        <w:rPr>
          <w:rFonts w:ascii="Arial" w:cs="Arial" w:eastAsia="Arial" w:hAnsi="Arial"/>
          <w:sz w:val="19"/>
          <w:szCs w:val="19"/>
          <w:color w:val="auto"/>
        </w:rPr>
      </w:pPr>
    </w:p>
    <w:p>
      <w:pPr>
        <w:ind w:left="2220" w:hanging="915"/>
        <w:spacing w:after="0"/>
        <w:tabs>
          <w:tab w:leader="none" w:pos="222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20" w:lineRule="exact"/>
        <w:rPr>
          <w:sz w:val="20"/>
          <w:szCs w:val="20"/>
          <w:color w:val="auto"/>
        </w:rPr>
      </w:pPr>
    </w:p>
    <w:p>
      <w:pPr>
        <w:jc w:val="both"/>
        <w:ind w:right="140" w:firstLine="1305"/>
        <w:spacing w:after="0" w:line="252" w:lineRule="auto"/>
        <w:tabs>
          <w:tab w:leader="none" w:pos="218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Grantee’s Employment may be terminated at any time by the Company or, if different, any subsidiary or Affiliate of the Company that is the Grantee’s employer (the “</w:t>
      </w:r>
      <w:r>
        <w:rPr>
          <w:rFonts w:ascii="Arial" w:cs="Arial" w:eastAsia="Arial" w:hAnsi="Arial"/>
          <w:sz w:val="19"/>
          <w:szCs w:val="19"/>
          <w:u w:val="single" w:color="auto"/>
          <w:color w:val="auto"/>
        </w:rPr>
        <w:t>Grantee’s employer</w:t>
      </w:r>
      <w:r>
        <w:rPr>
          <w:rFonts w:ascii="Arial" w:cs="Arial" w:eastAsia="Arial" w:hAnsi="Arial"/>
          <w:sz w:val="19"/>
          <w:szCs w:val="19"/>
          <w:color w:val="auto"/>
        </w:rPr>
        <w:t xml:space="preserve">”), or by the Grantee;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Grantee (but not the Company or, if different, the Grantee’s employer) shall be required to provide at least six (6) months advance written notice of such termination. For the avoidance of doubt, for purposes of Section 9 of this Agreement, termination of Employment shall be deemed to occur upon delivery of notice of termination by the Grantee.</w:t>
      </w:r>
    </w:p>
    <w:p>
      <w:pPr>
        <w:spacing w:after="0" w:line="189" w:lineRule="exact"/>
        <w:rPr>
          <w:rFonts w:ascii="Arial" w:cs="Arial" w:eastAsia="Arial" w:hAnsi="Arial"/>
          <w:sz w:val="19"/>
          <w:szCs w:val="19"/>
          <w:color w:val="auto"/>
        </w:rPr>
      </w:pPr>
    </w:p>
    <w:p>
      <w:pPr>
        <w:ind w:firstLine="1305"/>
        <w:spacing w:after="0" w:line="212" w:lineRule="auto"/>
        <w:tabs>
          <w:tab w:leader="none" w:pos="219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ectPr>
          <w:pgSz w:w="11900" w:h="16838" w:orient="portrait"/>
          <w:cols w:equalWidth="0" w:num="1">
            <w:col w:w="11360"/>
          </w:cols>
          <w:pgMar w:left="240" w:top="537" w:right="299" w:bottom="1440" w:gutter="0" w:footer="0" w:header="0"/>
        </w:sectPr>
      </w:pPr>
    </w:p>
    <w:bookmarkStart w:id="142" w:name="page143"/>
    <w:bookmarkEnd w:id="142"/>
    <w:p>
      <w:pPr>
        <w:ind w:left="-1200" w:right="40" w:firstLine="1305"/>
        <w:spacing w:after="0" w:line="218" w:lineRule="auto"/>
        <w:tabs>
          <w:tab w:leader="none" w:pos="98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11, and clauses (a) and (b) of this Section 11 shall not be taken to amend the related terms of such employment agreement.</w:t>
      </w:r>
    </w:p>
    <w:p>
      <w:pPr>
        <w:spacing w:after="0" w:line="255" w:lineRule="exact"/>
        <w:rPr>
          <w:rFonts w:ascii="Arial" w:cs="Arial" w:eastAsia="Arial" w:hAnsi="Arial"/>
          <w:sz w:val="22"/>
          <w:szCs w:val="22"/>
          <w:color w:val="auto"/>
        </w:rPr>
      </w:pPr>
    </w:p>
    <w:p>
      <w:pPr>
        <w:ind w:left="-1200" w:right="20" w:firstLine="1305"/>
        <w:spacing w:after="0" w:line="268" w:lineRule="auto"/>
        <w:tabs>
          <w:tab w:leader="none" w:pos="99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73" w:lineRule="exact"/>
        <w:rPr>
          <w:sz w:val="20"/>
          <w:szCs w:val="20"/>
          <w:color w:val="auto"/>
        </w:rPr>
      </w:pPr>
    </w:p>
    <w:p>
      <w:pPr>
        <w:ind w:left="-1200" w:right="40" w:firstLine="1305"/>
        <w:spacing w:after="0" w:line="268" w:lineRule="auto"/>
        <w:tabs>
          <w:tab w:leader="none" w:pos="101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In exchange for the consideration herein, the Grantee agrees that he or she will not make any disparaging, derogatory, damaging, and/or critical statements concerning the Company or any subsidiaries or any of their respective affiliates, partners, officers, directors, employees, services, products and/or activities.</w:t>
      </w:r>
    </w:p>
    <w:p>
      <w:pPr>
        <w:spacing w:after="0" w:line="172" w:lineRule="exact"/>
        <w:rPr>
          <w:rFonts w:ascii="Arial" w:cs="Arial" w:eastAsia="Arial" w:hAnsi="Arial"/>
          <w:sz w:val="19"/>
          <w:szCs w:val="19"/>
          <w:color w:val="auto"/>
        </w:rPr>
      </w:pPr>
    </w:p>
    <w:p>
      <w:pPr>
        <w:ind w:left="1020" w:hanging="915"/>
        <w:spacing w:after="0"/>
        <w:tabs>
          <w:tab w:leader="none" w:pos="102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20" w:lineRule="exact"/>
        <w:rPr>
          <w:sz w:val="20"/>
          <w:szCs w:val="20"/>
          <w:color w:val="auto"/>
        </w:rPr>
      </w:pPr>
    </w:p>
    <w:p>
      <w:pPr>
        <w:ind w:left="-1200" w:firstLine="1305"/>
        <w:spacing w:after="0" w:line="229" w:lineRule="auto"/>
        <w:tabs>
          <w:tab w:leader="none" w:pos="98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99" w:lineRule="exact"/>
        <w:rPr>
          <w:rFonts w:ascii="Arial" w:cs="Arial" w:eastAsia="Arial" w:hAnsi="Arial"/>
          <w:sz w:val="21"/>
          <w:szCs w:val="21"/>
          <w:color w:val="auto"/>
        </w:rPr>
      </w:pPr>
    </w:p>
    <w:p>
      <w:pPr>
        <w:ind w:left="-1200" w:right="100" w:firstLine="1305"/>
        <w:spacing w:after="0" w:line="218" w:lineRule="auto"/>
        <w:tabs>
          <w:tab w:leader="none" w:pos="99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9, 10, 11, 12, 14, 15, 16 and 18 of this Agreement. This right is subject to (i) the rights of the parties hereto to rescind or vary this Agreement without the consent of any such subsidiary or Affiliate and (ii) the other terms and conditions of this Agreement and the Plan.</w:t>
      </w:r>
    </w:p>
    <w:p>
      <w:pPr>
        <w:spacing w:after="0" w:line="256" w:lineRule="exact"/>
        <w:rPr>
          <w:sz w:val="20"/>
          <w:szCs w:val="20"/>
          <w:color w:val="auto"/>
        </w:rPr>
      </w:pPr>
    </w:p>
    <w:p>
      <w:pPr>
        <w:ind w:left="-1200" w:firstLine="1305"/>
        <w:spacing w:after="0" w:line="249" w:lineRule="auto"/>
        <w:tabs>
          <w:tab w:leader="none" w:pos="1015"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3" w:lineRule="exact"/>
        <w:rPr>
          <w:rFonts w:ascii="Arial" w:cs="Arial" w:eastAsia="Arial" w:hAnsi="Arial"/>
          <w:sz w:val="19"/>
          <w:szCs w:val="19"/>
          <w:color w:val="auto"/>
        </w:rPr>
      </w:pPr>
    </w:p>
    <w:p>
      <w:pPr>
        <w:ind w:left="-1200" w:right="40" w:firstLine="1305"/>
        <w:spacing w:after="0" w:line="222" w:lineRule="auto"/>
        <w:tabs>
          <w:tab w:leader="none" w:pos="1015"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To the extent permitted by law, the Company, the Grantee’s employer or their agents shall have the right to withhold or deduct from any distributions (including any Shares acquired or otherwise deliverable and the payment of other amounts with respect to such Shares) or payments to the Grantee the amount of all taxes, at a rate up to the maximum applicable withholding rate, and any social security contributions, required to be withheld or deducted by federal, state or local governments, in either case, as determined by the Company (or the Grantee’s employer, if different) in its discretion.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w:t>
      </w:r>
    </w:p>
    <w:p>
      <w:pPr>
        <w:sectPr>
          <w:pgSz w:w="11900" w:h="16838" w:orient="portrait"/>
          <w:cols w:equalWidth="0" w:num="1">
            <w:col w:w="10200"/>
          </w:cols>
          <w:pgMar w:left="1440" w:top="537" w:right="259" w:bottom="1440" w:gutter="0" w:footer="0" w:header="0"/>
        </w:sectPr>
      </w:pPr>
    </w:p>
    <w:bookmarkStart w:id="143" w:name="page144"/>
    <w:bookmarkEnd w:id="143"/>
    <w:p>
      <w:pPr>
        <w:ind w:right="140"/>
        <w:spacing w:after="0" w:line="214" w:lineRule="auto"/>
        <w:rPr>
          <w:sz w:val="20"/>
          <w:szCs w:val="20"/>
          <w:color w:val="auto"/>
        </w:rPr>
      </w:pPr>
      <w:r>
        <w:rPr>
          <w:rFonts w:ascii="Arial" w:cs="Arial" w:eastAsia="Arial" w:hAnsi="Arial"/>
          <w:sz w:val="22"/>
          <w:szCs w:val="22"/>
          <w:color w:val="auto"/>
        </w:rPr>
        <w:t>Administrator so determines, by the delivery of previously acquired Shares or Shares acquired hereunder or by the withholding of amounts from any payment hereunder) the applicable tax withholding obligation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200" w:lineRule="exact"/>
        <w:rPr>
          <w:sz w:val="20"/>
          <w:szCs w:val="20"/>
          <w:color w:val="auto"/>
        </w:rPr>
      </w:pPr>
    </w:p>
    <w:p>
      <w:pPr>
        <w:ind w:right="840" w:firstLine="1305"/>
        <w:spacing w:after="0" w:line="232" w:lineRule="auto"/>
        <w:tabs>
          <w:tab w:leader="none" w:pos="2215"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Pensionable Pay</w:t>
      </w:r>
      <w:r>
        <w:rPr>
          <w:rFonts w:ascii="Arial" w:cs="Arial" w:eastAsia="Arial" w:hAnsi="Arial"/>
          <w:sz w:val="22"/>
          <w:szCs w:val="22"/>
          <w:color w:val="auto"/>
        </w:rPr>
        <w:t>. For Grantees that are non-U.S. employees, the Award shall not form part of the Grantee’s pensionable pay.</w:t>
      </w:r>
    </w:p>
    <w:p>
      <w:pPr>
        <w:spacing w:after="0" w:line="199" w:lineRule="exact"/>
        <w:rPr>
          <w:rFonts w:ascii="Arial" w:cs="Arial" w:eastAsia="Arial" w:hAnsi="Arial"/>
          <w:sz w:val="22"/>
          <w:szCs w:val="22"/>
          <w:color w:val="auto"/>
        </w:rPr>
      </w:pPr>
    </w:p>
    <w:p>
      <w:pPr>
        <w:ind w:left="2220" w:hanging="915"/>
        <w:spacing w:after="0"/>
        <w:tabs>
          <w:tab w:leader="none" w:pos="222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ind w:right="180" w:firstLine="1305"/>
        <w:spacing w:after="0" w:line="232" w:lineRule="auto"/>
        <w:tabs>
          <w:tab w:leader="none" w:pos="218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Agreement is intended either to be exempt from or compliant with Section 409A, and all provisions of this Agreement shall be construed and administered accordingly.</w:t>
      </w:r>
    </w:p>
    <w:p>
      <w:pPr>
        <w:spacing w:after="0" w:line="253" w:lineRule="exact"/>
        <w:rPr>
          <w:rFonts w:ascii="Arial" w:cs="Arial" w:eastAsia="Arial" w:hAnsi="Arial"/>
          <w:sz w:val="22"/>
          <w:szCs w:val="22"/>
          <w:color w:val="auto"/>
        </w:rPr>
      </w:pPr>
    </w:p>
    <w:p>
      <w:pPr>
        <w:ind w:right="40" w:firstLine="1305"/>
        <w:spacing w:after="0" w:line="214" w:lineRule="auto"/>
        <w:tabs>
          <w:tab w:leader="none" w:pos="2197" w:val="left"/>
        </w:tabs>
        <w:numPr>
          <w:ilvl w:val="0"/>
          <w:numId w:val="17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the Grantee is determined by the Administrator to be a “specified employee” within the meaning of Section 409A at the time of the Grantee’s separation from service, any and all payments, settlements or distributions under this Agreement that constitute nonqualified deferred compensation under Section 409A and that would (but for this provision) be paid, settled or distributed within six (6) months following the date of termination will be delayed until the earlier of (i) the date that is six (6) months and one day following the Grantee’s separation from service, and (ii) the date of the Grantee’s death.</w:t>
      </w:r>
    </w:p>
    <w:p>
      <w:pPr>
        <w:spacing w:after="0" w:line="199" w:lineRule="exact"/>
        <w:rPr>
          <w:rFonts w:ascii="Arial" w:cs="Arial" w:eastAsia="Arial" w:hAnsi="Arial"/>
          <w:sz w:val="22"/>
          <w:szCs w:val="22"/>
          <w:color w:val="auto"/>
        </w:rPr>
      </w:pPr>
    </w:p>
    <w:p>
      <w:pPr>
        <w:ind w:right="240" w:firstLine="1305"/>
        <w:spacing w:after="0" w:line="223" w:lineRule="auto"/>
        <w:tabs>
          <w:tab w:leader="none" w:pos="218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In no event shall the Company or any of its subsidiaries or Affiliates have any liability relating to the failure or alleged failure of any payment or benefit under this Agreement to comply with, or be exempt from, the requirements of Section 409A.</w:t>
      </w:r>
    </w:p>
    <w:p>
      <w:pPr>
        <w:spacing w:after="0" w:line="159" w:lineRule="exact"/>
        <w:rPr>
          <w:sz w:val="20"/>
          <w:szCs w:val="20"/>
          <w:color w:val="auto"/>
        </w:rPr>
      </w:pPr>
    </w:p>
    <w:p>
      <w:pPr>
        <w:ind w:left="2220" w:hanging="915"/>
        <w:spacing w:after="0"/>
        <w:tabs>
          <w:tab w:leader="none" w:pos="222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49" w:lineRule="auto"/>
        <w:tabs>
          <w:tab w:leader="none" w:pos="218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Company shall establish and maintain a sub-account within the Grantee’s Account, which shall reflect the amount of the Award granted to the Grantee and the number of Stock Units. The Grantee acknowledges and agrees that the Company (i) may hold any Shares issued and distributed in settlement of this Award on behalf of the Grantee, until such time as the Grantee submits a request for delivery, and (ii) will exercise voting rights and take all other corporate actions for any Shares issued pursuant to this Award for such time as any such Shares may be held by the Company on behalf of the Grantee, unless the Grantee provides written notice to the Human Resources Department to the contrary.</w:t>
      </w:r>
    </w:p>
    <w:p>
      <w:pPr>
        <w:spacing w:after="0" w:line="193" w:lineRule="exact"/>
        <w:rPr>
          <w:rFonts w:ascii="Arial" w:cs="Arial" w:eastAsia="Arial" w:hAnsi="Arial"/>
          <w:sz w:val="19"/>
          <w:szCs w:val="19"/>
          <w:color w:val="auto"/>
        </w:rPr>
      </w:pPr>
    </w:p>
    <w:p>
      <w:pPr>
        <w:ind w:right="560" w:firstLine="1305"/>
        <w:spacing w:after="0" w:line="223" w:lineRule="auto"/>
        <w:tabs>
          <w:tab w:leader="none" w:pos="219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199" w:lineRule="exact"/>
        <w:rPr>
          <w:rFonts w:ascii="Arial" w:cs="Arial" w:eastAsia="Arial" w:hAnsi="Arial"/>
          <w:sz w:val="22"/>
          <w:szCs w:val="22"/>
          <w:color w:val="auto"/>
        </w:rPr>
      </w:pPr>
    </w:p>
    <w:p>
      <w:pPr>
        <w:ind w:right="120" w:firstLine="1305"/>
        <w:spacing w:after="0" w:line="252" w:lineRule="auto"/>
        <w:tabs>
          <w:tab w:leader="none" w:pos="218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w:t>
      </w:r>
    </w:p>
    <w:p>
      <w:pPr>
        <w:sectPr>
          <w:pgSz w:w="11900" w:h="16838" w:orient="portrait"/>
          <w:cols w:equalWidth="0" w:num="1">
            <w:col w:w="11420"/>
          </w:cols>
          <w:pgMar w:left="240" w:top="537" w:right="23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agreement with the Grantee or under applicable law to terminate the Employment of the Grantee at any time with or without Cause;</w:t>
      </w:r>
    </w:p>
    <w:p>
      <w:pPr>
        <w:spacing w:after="0" w:line="16" w:lineRule="exact"/>
        <w:rPr>
          <w:sz w:val="20"/>
          <w:szCs w:val="20"/>
          <w:color w:val="auto"/>
        </w:rPr>
      </w:pPr>
    </w:p>
    <w:p>
      <w:pPr>
        <w:ind w:right="20" w:firstLine="8"/>
        <w:spacing w:after="0" w:line="214" w:lineRule="auto"/>
        <w:tabs>
          <w:tab w:leader="none" w:pos="36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200" w:lineRule="exact"/>
        <w:rPr>
          <w:rFonts w:ascii="Arial" w:cs="Arial" w:eastAsia="Arial" w:hAnsi="Arial"/>
          <w:sz w:val="22"/>
          <w:szCs w:val="22"/>
          <w:color w:val="auto"/>
        </w:rPr>
      </w:pPr>
    </w:p>
    <w:p>
      <w:pPr>
        <w:ind w:firstLine="1305"/>
        <w:spacing w:after="0" w:line="214" w:lineRule="auto"/>
        <w:tabs>
          <w:tab w:leader="none" w:pos="2197"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 the terms of this Section 18(d) and the Grantee’s terms of employment, this Section 18(d) shall take precedence (except as required by applicable legislation).</w:t>
      </w:r>
    </w:p>
    <w:p>
      <w:pPr>
        <w:spacing w:after="0" w:line="199" w:lineRule="exact"/>
        <w:rPr>
          <w:rFonts w:ascii="Arial" w:cs="Arial" w:eastAsia="Arial" w:hAnsi="Arial"/>
          <w:sz w:val="22"/>
          <w:szCs w:val="22"/>
          <w:color w:val="auto"/>
        </w:rPr>
      </w:pPr>
    </w:p>
    <w:p>
      <w:pPr>
        <w:jc w:val="both"/>
        <w:ind w:firstLine="1305"/>
        <w:spacing w:after="0" w:line="234" w:lineRule="auto"/>
        <w:tabs>
          <w:tab w:leader="none" w:pos="2185" w:val="left"/>
        </w:tabs>
        <w:numPr>
          <w:ilvl w:val="1"/>
          <w:numId w:val="177"/>
        </w:numPr>
        <w:rPr>
          <w:rFonts w:ascii="Arial" w:cs="Arial" w:eastAsia="Arial" w:hAnsi="Arial"/>
          <w:sz w:val="21"/>
          <w:szCs w:val="21"/>
          <w:color w:val="auto"/>
        </w:rPr>
      </w:pPr>
      <w:r>
        <w:rPr>
          <w:rFonts w:ascii="Arial" w:cs="Arial" w:eastAsia="Arial" w:hAnsi="Arial"/>
          <w:sz w:val="21"/>
          <w:szCs w:val="21"/>
          <w:color w:val="auto"/>
        </w:rPr>
        <w:t>Pursuant to the provisions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198" w:lineRule="exact"/>
        <w:rPr>
          <w:rFonts w:ascii="Arial" w:cs="Arial" w:eastAsia="Arial" w:hAnsi="Arial"/>
          <w:sz w:val="21"/>
          <w:szCs w:val="21"/>
          <w:color w:val="auto"/>
        </w:rPr>
      </w:pPr>
    </w:p>
    <w:p>
      <w:pPr>
        <w:ind w:right="40" w:firstLine="1305"/>
        <w:spacing w:after="0" w:line="246" w:lineRule="auto"/>
        <w:tabs>
          <w:tab w:leader="none" w:pos="2161" w:val="left"/>
        </w:tabs>
        <w:numPr>
          <w:ilvl w:val="1"/>
          <w:numId w:val="177"/>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93" w:lineRule="exact"/>
        <w:rPr>
          <w:rFonts w:ascii="Arial" w:cs="Arial" w:eastAsia="Arial" w:hAnsi="Arial"/>
          <w:sz w:val="19"/>
          <w:szCs w:val="19"/>
          <w:color w:val="auto"/>
        </w:rPr>
      </w:pPr>
    </w:p>
    <w:p>
      <w:pPr>
        <w:ind w:firstLine="1305"/>
        <w:spacing w:after="0" w:line="244" w:lineRule="auto"/>
        <w:tabs>
          <w:tab w:leader="none" w:pos="2197" w:val="left"/>
        </w:tabs>
        <w:numPr>
          <w:ilvl w:val="1"/>
          <w:numId w:val="177"/>
        </w:numPr>
        <w:rPr>
          <w:rFonts w:ascii="Arial" w:cs="Arial" w:eastAsia="Arial" w:hAnsi="Arial"/>
          <w:sz w:val="19"/>
          <w:szCs w:val="19"/>
          <w:color w:val="auto"/>
        </w:rPr>
      </w:pPr>
      <w:r>
        <w:rPr>
          <w:rFonts w:ascii="Arial" w:cs="Arial" w:eastAsia="Arial" w:hAnsi="Arial"/>
          <w:sz w:val="19"/>
          <w:szCs w:val="19"/>
          <w:color w:val="auto"/>
        </w:rPr>
        <w:t>Notwithstanding anything to the contrary in the Plan, 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9(a)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196" w:lineRule="exact"/>
        <w:rPr>
          <w:rFonts w:ascii="Arial" w:cs="Arial" w:eastAsia="Arial" w:hAnsi="Arial"/>
          <w:sz w:val="19"/>
          <w:szCs w:val="19"/>
          <w:color w:val="auto"/>
        </w:rPr>
      </w:pPr>
    </w:p>
    <w:p>
      <w:pPr>
        <w:jc w:val="both"/>
        <w:ind w:right="220" w:firstLine="1305"/>
        <w:spacing w:after="0" w:line="243" w:lineRule="auto"/>
        <w:tabs>
          <w:tab w:leader="none" w:pos="2197"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9(a), thoroughly, is satisfied that he or she understands it completely, and agrees to be bound by the terms and conditions set forth herein. The Grantee understands that he or she has the right to consult an attorney before signing this Agreement.</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Notwithstanding</w:t>
      </w:r>
    </w:p>
    <w:p>
      <w:pPr>
        <w:sectPr>
          <w:pgSz w:w="11900" w:h="16838" w:orient="portrait"/>
          <w:cols w:equalWidth="0" w:num="1">
            <w:col w:w="11420"/>
          </w:cols>
          <w:pgMar w:left="240" w:top="537" w:right="2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 xml:space="preserve">anything to the contrary herein, Section 9(a) shall not take effect until ten (10) business days after the Grant Date listed on </w:t>
      </w:r>
      <w:r>
        <w:rPr>
          <w:rFonts w:ascii="Arial" w:cs="Arial" w:eastAsia="Arial" w:hAnsi="Arial"/>
          <w:sz w:val="19"/>
          <w:szCs w:val="19"/>
          <w:u w:val="single" w:color="auto"/>
          <w:color w:val="auto"/>
        </w:rPr>
        <w:t>Exhibit</w:t>
      </w:r>
    </w:p>
    <w:p>
      <w:pPr>
        <w:spacing w:after="0" w:line="16" w:lineRule="exact"/>
        <w:rPr>
          <w:sz w:val="20"/>
          <w:szCs w:val="20"/>
          <w:color w:val="auto"/>
        </w:rPr>
      </w:pPr>
    </w:p>
    <w:p>
      <w:pPr>
        <w:ind w:left="220" w:hanging="212"/>
        <w:spacing w:after="0"/>
        <w:tabs>
          <w:tab w:leader="none" w:pos="220" w:val="left"/>
        </w:tabs>
        <w:numPr>
          <w:ilvl w:val="0"/>
          <w:numId w:val="178"/>
        </w:numPr>
        <w:rPr>
          <w:rFonts w:ascii="Arial" w:cs="Arial" w:eastAsia="Arial" w:hAnsi="Arial"/>
          <w:sz w:val="22"/>
          <w:szCs w:val="22"/>
          <w:u w:val="single" w:color="auto"/>
          <w:color w:val="auto"/>
        </w:rPr>
      </w:pPr>
      <w:r>
        <w:rPr>
          <w:rFonts w:ascii="Arial" w:cs="Arial" w:eastAsia="Arial" w:hAnsi="Arial"/>
          <w:sz w:val="22"/>
          <w:szCs w:val="22"/>
          <w:color w:val="auto"/>
        </w:rPr>
        <w:t>hereto.</w:t>
      </w:r>
    </w:p>
    <w:p>
      <w:pPr>
        <w:spacing w:after="0" w:line="202" w:lineRule="exact"/>
        <w:rPr>
          <w:sz w:val="20"/>
          <w:szCs w:val="20"/>
          <w:color w:val="auto"/>
        </w:rPr>
      </w:pPr>
    </w:p>
    <w:p>
      <w:pPr>
        <w:ind w:firstLine="1305"/>
        <w:spacing w:after="0" w:line="216" w:lineRule="auto"/>
        <w:tabs>
          <w:tab w:leader="none" w:pos="214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this Award shall be, and the Grantee hereby acknowledges that it is, subject to and governed by all the terms and conditions of the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Section 3.1 through 3.4 of the Plan, permitting Elective Deferrals, and Articles 4 through 9 of the Plan shall not apply to the Grantee by reason of the grant of this Award. This Agreement shall supersede and take precedence over any inconsistent provisions of the Plan and any prior Plan Agreement.</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[Remainder of this page is intentionally left blank]</w:t>
      </w:r>
    </w:p>
    <w:p>
      <w:pPr>
        <w:sectPr>
          <w:pgSz w:w="11900" w:h="16838" w:orient="portrait"/>
          <w:cols w:equalWidth="0" w:num="1">
            <w:col w:w="11340"/>
          </w:cols>
          <w:pgMar w:left="240" w:top="537" w:right="319" w:bottom="1440" w:gutter="0" w:footer="0" w:header="0"/>
        </w:sectPr>
      </w:pPr>
    </w:p>
    <w:bookmarkStart w:id="146" w:name="page147"/>
    <w:bookmarkEnd w:id="146"/>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60"/>
        <w:spacing w:after="0"/>
        <w:rPr>
          <w:sz w:val="20"/>
          <w:szCs w:val="20"/>
          <w:color w:val="auto"/>
        </w:rPr>
      </w:pPr>
      <w:r>
        <w:rPr>
          <w:rFonts w:ascii="Arial" w:cs="Arial" w:eastAsia="Arial" w:hAnsi="Arial"/>
          <w:sz w:val="22"/>
          <w:szCs w:val="22"/>
          <w:i w:val="1"/>
          <w:iCs w:val="1"/>
          <w:color w:val="auto"/>
        </w:rPr>
        <w:t>[Award Agreement</w:t>
      </w:r>
      <w:r>
        <w:rPr>
          <w:rFonts w:ascii="Arial" w:cs="Arial" w:eastAsia="Arial" w:hAnsi="Arial"/>
          <w:sz w:val="22"/>
          <w:szCs w:val="22"/>
          <w:color w:val="auto"/>
        </w:rPr>
        <w:t>]</w:t>
      </w:r>
    </w:p>
    <w:p>
      <w:pPr>
        <w:sectPr>
          <w:pgSz w:w="11900" w:h="16838" w:orient="portrait"/>
          <w:cols w:equalWidth="0" w:num="1">
            <w:col w:w="10900"/>
          </w:cols>
          <w:pgMar w:left="240" w:top="564" w:right="7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2019. Subsidiaries of majority- and minority-owned Affiliates are not listed. Minority investments are indicated via asterisk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Abacos Atlantic Holdings Ltd., a Bahamas international business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Abax Investments Proprietary Limited, a limited liability private company incorporated in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(Asia)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(Hong Kong) Limited, a limited company incorporated in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(Ireland) Limited, an Ireland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Limited, a limited company incorporated in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Pty Ltd, a limited company incorporated in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(Switzerland) AG, a company incorporated in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2014 Capital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Andros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Arrow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Atlantic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Boston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Capital (Cayman)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1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3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CVC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Distributors,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Edison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Funds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Gamma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Global,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Gotham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GWK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Investment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PA Holdings Partnership, a Delaware general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PFM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Plymouth UK Holdings (1) Limited, a limited company incorporated in 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Properties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Renaissance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SA Holdings Proprietary Limited, a limited liability private company incorporated in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SSAM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TBC,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UK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Wealth Partners,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WF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Windermere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WP GP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WP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a Nova Scotia corporation</w:t>
      </w:r>
    </w:p>
    <w:p>
      <w:pPr>
        <w:sectPr>
          <w:pgSz w:w="11900" w:h="16838" w:orient="portrait"/>
          <w:cols w:equalWidth="0" w:num="1">
            <w:col w:w="11420"/>
          </w:cols>
          <w:pgMar w:left="240" w:top="553"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AMG/Midwest Holdings,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9" w:lineRule="exact"/>
        <w:rPr>
          <w:sz w:val="20"/>
          <w:szCs w:val="20"/>
          <w:color w:val="auto"/>
        </w:rPr>
      </w:pPr>
    </w:p>
    <w:p>
      <w:pPr>
        <w:ind w:right="4279"/>
        <w:spacing w:after="0" w:line="250" w:lineRule="auto"/>
        <w:rPr>
          <w:sz w:val="20"/>
          <w:szCs w:val="20"/>
          <w:color w:val="auto"/>
        </w:rPr>
      </w:pPr>
      <w:r>
        <w:rPr>
          <w:rFonts w:ascii="Arial" w:cs="Arial" w:eastAsia="Arial" w:hAnsi="Arial"/>
          <w:sz w:val="18"/>
          <w:szCs w:val="18"/>
          <w:color w:val="auto"/>
        </w:rPr>
        <w:t>AQR Capital Management Holdings, LLC, a Delaware limited liability company* Arrow Acquisition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Arrow Bidco Limited, a limited company incorporated in the United Kingdom</w:t>
      </w:r>
    </w:p>
    <w:p>
      <w:pPr>
        <w:spacing w:after="0" w:line="9" w:lineRule="exact"/>
        <w:rPr>
          <w:sz w:val="20"/>
          <w:szCs w:val="20"/>
          <w:color w:val="auto"/>
        </w:rPr>
      </w:pPr>
    </w:p>
    <w:p>
      <w:pPr>
        <w:ind w:right="3499"/>
        <w:spacing w:after="0" w:line="281" w:lineRule="auto"/>
        <w:rPr>
          <w:sz w:val="20"/>
          <w:szCs w:val="20"/>
          <w:color w:val="auto"/>
        </w:rPr>
      </w:pPr>
      <w:r>
        <w:rPr>
          <w:rFonts w:ascii="Arial" w:cs="Arial" w:eastAsia="Arial" w:hAnsi="Arial"/>
          <w:sz w:val="16"/>
          <w:szCs w:val="16"/>
          <w:color w:val="auto"/>
        </w:rPr>
        <w:t>Artemis Asset Management Limited, a limited company incorporated in the United Kingdom Artemis Investment Management LLP, a United Kingdom limited liability partnership</w:t>
      </w:r>
    </w:p>
    <w:p>
      <w:pPr>
        <w:spacing w:after="0" w:line="1" w:lineRule="exact"/>
        <w:rPr>
          <w:sz w:val="20"/>
          <w:szCs w:val="20"/>
          <w:color w:val="auto"/>
        </w:rPr>
      </w:pPr>
    </w:p>
    <w:p>
      <w:pPr>
        <w:ind w:right="2799"/>
        <w:spacing w:after="0" w:line="250" w:lineRule="auto"/>
        <w:rPr>
          <w:sz w:val="20"/>
          <w:szCs w:val="20"/>
          <w:color w:val="auto"/>
        </w:rPr>
      </w:pPr>
      <w:r>
        <w:rPr>
          <w:rFonts w:ascii="Arial" w:cs="Arial" w:eastAsia="Arial" w:hAnsi="Arial"/>
          <w:sz w:val="18"/>
          <w:szCs w:val="18"/>
          <w:color w:val="auto"/>
        </w:rPr>
        <w:t>Artemis Strategic Asset Management Limited, a limited company incorporated in the United Kingdom Baker Street Advisors LLC, a Delaware limited liability company</w:t>
      </w:r>
    </w:p>
    <w:p>
      <w:pPr>
        <w:spacing w:after="0" w:line="1" w:lineRule="exact"/>
        <w:rPr>
          <w:sz w:val="20"/>
          <w:szCs w:val="20"/>
          <w:color w:val="auto"/>
        </w:rPr>
      </w:pPr>
    </w:p>
    <w:p>
      <w:pPr>
        <w:ind w:right="4239"/>
        <w:spacing w:after="0" w:line="281" w:lineRule="auto"/>
        <w:rPr>
          <w:sz w:val="20"/>
          <w:szCs w:val="20"/>
          <w:color w:val="auto"/>
        </w:rPr>
      </w:pPr>
      <w:r>
        <w:rPr>
          <w:rFonts w:ascii="Arial" w:cs="Arial" w:eastAsia="Arial" w:hAnsi="Arial"/>
          <w:sz w:val="16"/>
          <w:szCs w:val="16"/>
          <w:color w:val="auto"/>
        </w:rPr>
        <w:t>Baring Private Equity Asia Group Limited, a Cayman Islands exempted company* Beutel, Goodman &amp; Company Ltd., a limited company incorporated in Canada* Bimini Atlantic Holdings Ltd., a Bahamas international business company Capeview Capital LLP, an England and Wales limited liability partnership*</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Capula Investment Management LLP, an England and Wales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Capula Management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Catalyst Acquisition II,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Equity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CML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CVC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Deans Knight Capital Management Ltd.,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Asset Management, LLC, a Delaware limited liability company*</w:t>
      </w:r>
    </w:p>
    <w:p>
      <w:pPr>
        <w:spacing w:after="0" w:line="9" w:lineRule="exact"/>
        <w:rPr>
          <w:sz w:val="20"/>
          <w:szCs w:val="20"/>
          <w:color w:val="auto"/>
        </w:rPr>
      </w:pPr>
    </w:p>
    <w:p>
      <w:pPr>
        <w:ind w:right="4539"/>
        <w:spacing w:after="0" w:line="281" w:lineRule="auto"/>
        <w:rPr>
          <w:sz w:val="20"/>
          <w:szCs w:val="20"/>
          <w:color w:val="auto"/>
        </w:rPr>
      </w:pPr>
      <w:r>
        <w:rPr>
          <w:rFonts w:ascii="Arial" w:cs="Arial" w:eastAsia="Arial" w:hAnsi="Arial"/>
          <w:sz w:val="16"/>
          <w:szCs w:val="16"/>
          <w:color w:val="auto"/>
        </w:rPr>
        <w:t>EIG Principals Incentive Carry Vehicle, LP, a Delaware limited partnership* EIG Principals Incentive Carry Vehicle II,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EIG Principals Incentive Carry Vehicle III, LP, a Cayman Islands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Garda Capital Partners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Investment Management, LLP, a United Kingdom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LP,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GW&amp;K Investment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Harding Loevner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HWL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Investments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myCIO Wealth Partners, LLC, a Delaware limited liability company</w:t>
      </w:r>
    </w:p>
    <w:p>
      <w:pPr>
        <w:spacing w:after="0" w:line="9" w:lineRule="exact"/>
        <w:rPr>
          <w:sz w:val="20"/>
          <w:szCs w:val="20"/>
          <w:color w:val="auto"/>
        </w:rPr>
      </w:pPr>
    </w:p>
    <w:p>
      <w:pPr>
        <w:ind w:right="4219"/>
        <w:spacing w:after="0" w:line="250" w:lineRule="auto"/>
        <w:rPr>
          <w:sz w:val="20"/>
          <w:szCs w:val="20"/>
          <w:color w:val="auto"/>
        </w:rPr>
      </w:pPr>
      <w:r>
        <w:rPr>
          <w:rFonts w:ascii="Arial" w:cs="Arial" w:eastAsia="Arial" w:hAnsi="Arial"/>
          <w:sz w:val="18"/>
          <w:szCs w:val="18"/>
          <w:color w:val="auto"/>
        </w:rPr>
        <w:t>Pantheon Capital (Asia) Limited, a limited company incorporated in Hong Kong Pantheon Holdings Limited, a limited company incorporated in England and Wales Pantheon Ventures (Asia) Limited, a Cayman Islands exempted company Pantheon Ventures Inc., a California corporation</w:t>
      </w:r>
    </w:p>
    <w:p>
      <w:pPr>
        <w:spacing w:after="0" w:line="2" w:lineRule="exact"/>
        <w:rPr>
          <w:sz w:val="20"/>
          <w:szCs w:val="20"/>
          <w:color w:val="auto"/>
        </w:rPr>
      </w:pPr>
    </w:p>
    <w:p>
      <w:pPr>
        <w:ind w:right="3059"/>
        <w:spacing w:after="0" w:line="265" w:lineRule="auto"/>
        <w:rPr>
          <w:sz w:val="20"/>
          <w:szCs w:val="20"/>
          <w:color w:val="auto"/>
        </w:rPr>
      </w:pPr>
      <w:r>
        <w:rPr>
          <w:rFonts w:ascii="Arial" w:cs="Arial" w:eastAsia="Arial" w:hAnsi="Arial"/>
          <w:sz w:val="17"/>
          <w:szCs w:val="17"/>
          <w:color w:val="auto"/>
        </w:rPr>
        <w:t>Pantheon Ventures (Ireland) Designated Activity Company, an Ireland designated activity company Pantheon Ventures Limited, a limited company incorporated in England and Wales</w:t>
      </w:r>
    </w:p>
    <w:p>
      <w:pPr>
        <w:spacing w:after="0"/>
        <w:rPr>
          <w:sz w:val="20"/>
          <w:szCs w:val="20"/>
          <w:color w:val="auto"/>
        </w:rPr>
      </w:pPr>
      <w:r>
        <w:rPr>
          <w:rFonts w:ascii="Arial" w:cs="Arial" w:eastAsia="Arial" w:hAnsi="Arial"/>
          <w:sz w:val="18"/>
          <w:szCs w:val="18"/>
          <w:color w:val="auto"/>
        </w:rPr>
        <w:t>Pantheon Ventures (UK) LLP, an England and Wales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Advisory Services,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Investment Management,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PFM Acquisition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Road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RRAM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SouthernSun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Squam Acquisition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Squam Acquisition LP, LLC, a Delaware limited liability company</w:t>
      </w:r>
    </w:p>
    <w:p>
      <w:pPr>
        <w:sectPr>
          <w:pgSz w:w="11900" w:h="16838" w:orient="portrait"/>
          <w:cols w:equalWidth="0" w:num="1">
            <w:col w:w="10219"/>
          </w:cols>
          <w:pgMar w:left="240" w:top="557" w:right="1440" w:bottom="1440" w:gutter="0" w:footer="0" w:header="0"/>
        </w:sectPr>
      </w:pPr>
    </w:p>
    <w:bookmarkStart w:id="149" w:name="page150"/>
    <w:bookmarkEnd w:id="149"/>
    <w:p>
      <w:pPr>
        <w:ind w:right="5039"/>
        <w:spacing w:after="0" w:line="291" w:lineRule="auto"/>
        <w:rPr>
          <w:sz w:val="20"/>
          <w:szCs w:val="20"/>
          <w:color w:val="auto"/>
        </w:rPr>
      </w:pPr>
      <w:r>
        <w:rPr>
          <w:rFonts w:ascii="Arial" w:cs="Arial" w:eastAsia="Arial" w:hAnsi="Arial"/>
          <w:sz w:val="16"/>
          <w:szCs w:val="16"/>
          <w:color w:val="auto"/>
        </w:rPr>
        <w:t>SSAM Acquisition, LLC, a Delaware limited liability company Systematic Financial Management, L.P., a Delaware limited partnership</w:t>
      </w:r>
    </w:p>
    <w:p>
      <w:pPr>
        <w:ind w:right="3639"/>
        <w:spacing w:after="0" w:line="265" w:lineRule="auto"/>
        <w:rPr>
          <w:sz w:val="20"/>
          <w:szCs w:val="20"/>
          <w:color w:val="auto"/>
        </w:rPr>
      </w:pPr>
      <w:r>
        <w:rPr>
          <w:rFonts w:ascii="Arial" w:cs="Arial" w:eastAsia="Arial" w:hAnsi="Arial"/>
          <w:sz w:val="17"/>
          <w:szCs w:val="17"/>
          <w:color w:val="auto"/>
        </w:rPr>
        <w:t>Systematica Investments GP Limited, a registered private company incorporated in Jersey* Systematica Investments Limited, a registered private company incorporated in Jersey* Systematica Investments LP, a Guernsey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Renaissance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Holdings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Manager Member,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GP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II,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VAM Bidco Limited, a private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Veritable,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Veritas Asset Management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Watson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Wealth Partners Capital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Windermere Cayman LP, a Cayman Islands exempted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Group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Yacktman Asset Management LP, a Delaware limited partnership</w:t>
      </w:r>
    </w:p>
    <w:p>
      <w:pPr>
        <w:sectPr>
          <w:pgSz w:w="11900" w:h="16838" w:orient="portrait"/>
          <w:cols w:equalWidth="0" w:num="1">
            <w:col w:w="10219"/>
          </w:cols>
          <w:pgMar w:left="240" w:top="557" w:right="1440"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692" w:right="1440" w:bottom="1440" w:gutter="0" w:footer="0" w:header="0"/>
        </w:sectPr>
      </w:pPr>
    </w:p>
    <w:bookmarkStart w:id="151" w:name="page152"/>
    <w:bookmarkEnd w:id="151"/>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333-230423) and S-8 (No. 333-190412, No. 333-175912, No. 333-135416, No. 333-129748, No. 333-100628, No. 333-84485, and No. 333-72967) of Affiliated Managers Group, Inc. of our report dated February 28, 2020 relating to the financial statements, and financial statement schedule and the effectiveness of internal control over financial reporting, which appears in this Form 10-K.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64"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692" w:right="1440" w:bottom="1440"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279"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17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6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693" w:right="1440" w:bottom="1440" w:gutter="0" w:footer="0" w:header="0"/>
        </w:sectPr>
      </w:pPr>
    </w:p>
    <w:bookmarkStart w:id="155" w:name="page156"/>
    <w:bookmarkEnd w:id="155"/>
    <w:p>
      <w:pPr>
        <w:spacing w:after="0"/>
        <w:rPr>
          <w:rFonts w:ascii="Arial" w:cs="Arial" w:eastAsia="Arial" w:hAnsi="Arial"/>
          <w:sz w:val="22"/>
          <w:szCs w:val="22"/>
          <w:color w:val="0000EE"/>
        </w:rPr>
      </w:pPr>
      <w:hyperlink w:anchor="page1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Thomas M. Wojcik, certify that:</w:t>
      </w:r>
    </w:p>
    <w:p>
      <w:pPr>
        <w:spacing w:after="0" w:line="279"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17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Thomas M. Wojcik</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6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692" w:right="1440" w:bottom="1440" w:gutter="0" w:footer="0" w:header="0"/>
        </w:sectPr>
      </w:pPr>
    </w:p>
    <w:bookmarkStart w:id="157" w:name="page158"/>
    <w:bookmarkEnd w:id="157"/>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2019 as filed with the Securities and Exchange Commission on the date hereof (the "Report"), the undersigned, Jay C. Horgen, President and Chief Executive Officer of the Company, hereby certifies, pursuant to 18 U.S.C. Section 1350, that:</w:t>
      </w:r>
    </w:p>
    <w:p>
      <w:pPr>
        <w:spacing w:after="0" w:line="100"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right="380" w:firstLine="332"/>
        <w:spacing w:after="0" w:line="422" w:lineRule="auto"/>
        <w:tabs>
          <w:tab w:leader="none" w:pos="64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2020</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6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693" w:right="1440" w:bottom="1440" w:gutter="0" w:footer="0" w:header="0"/>
        </w:sectPr>
      </w:pPr>
    </w:p>
    <w:bookmarkStart w:id="159" w:name="page160"/>
    <w:bookmarkEnd w:id="159"/>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2019 as filed with the Securities and Exchange Commission on the date hereof (the "Report"), the undersigned, Thomas M. Wojcik, Chief Financial Officer of the Company, hereby certifies, pursuant to 18 U.S.C. Section 1350, that:</w:t>
      </w:r>
    </w:p>
    <w:p>
      <w:pPr>
        <w:spacing w:after="0" w:line="100"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right="380" w:firstLine="332"/>
        <w:spacing w:after="0" w:line="422" w:lineRule="auto"/>
        <w:tabs>
          <w:tab w:leader="none" w:pos="64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2020</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M. Wojcik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64"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6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1."/>
      <w:numFmt w:val="decimal"/>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1)"/>
      <w:numFmt w:val="decimal"/>
      <w:start w:val="1"/>
    </w:lvl>
  </w:abstractNum>
  <w:abstractNum w:abstractNumId="8">
    <w:nsid w:val="7055A5F5"/>
    <w:multiLevelType w:val="hybridMultilevel"/>
    <w:lvl w:ilvl="0">
      <w:lvlJc w:val="left"/>
      <w:lvlText w:val="(%1)"/>
      <w:numFmt w:val="decimal"/>
      <w:start w:val="1"/>
    </w:lvl>
  </w:abstractNum>
  <w:abstractNum w:abstractNumId="9">
    <w:nsid w:val="5FB8370B"/>
    <w:multiLevelType w:val="hybridMultilevel"/>
    <w:lvl w:ilvl="0">
      <w:lvlJc w:val="left"/>
      <w:lvlText w:val="(%1)"/>
      <w:numFmt w:val="decimal"/>
      <w:start w:val="1"/>
    </w:lvl>
  </w:abstractNum>
  <w:abstractNum w:abstractNumId="10">
    <w:nsid w:val="50801EE1"/>
    <w:multiLevelType w:val="hybridMultilevel"/>
    <w:lvl w:ilvl="0">
      <w:lvlJc w:val="left"/>
      <w:lvlText w:val="(%1)"/>
      <w:numFmt w:val="decimal"/>
      <w:start w:val="1"/>
    </w:lvl>
  </w:abstractNum>
  <w:abstractNum w:abstractNumId="11">
    <w:nsid w:val="488AC1A"/>
    <w:multiLevelType w:val="hybridMultilevel"/>
    <w:lvl w:ilvl="0">
      <w:lvlJc w:val="left"/>
      <w:lvlText w:val="(%1)"/>
      <w:numFmt w:val="decimal"/>
      <w:start w:val="1"/>
    </w:lvl>
  </w:abstractNum>
  <w:abstractNum w:abstractNumId="12">
    <w:nsid w:val="5FB8011C"/>
    <w:multiLevelType w:val="hybridMultilevel"/>
    <w:lvl w:ilvl="0">
      <w:lvlJc w:val="left"/>
      <w:lvlText w:val="(%1)"/>
      <w:numFmt w:val="decimal"/>
      <w:start w:val="1"/>
    </w:lvl>
  </w:abstractNum>
  <w:abstractNum w:abstractNumId="13">
    <w:nsid w:val="6AA78F7F"/>
    <w:multiLevelType w:val="hybridMultilevel"/>
    <w:lvl w:ilvl="0">
      <w:lvlJc w:val="left"/>
      <w:lvlText w:val="(%1)"/>
      <w:numFmt w:val="decimal"/>
      <w:start w:val="1"/>
    </w:lvl>
  </w:abstractNum>
  <w:abstractNum w:abstractNumId="14">
    <w:nsid w:val="7672BD23"/>
    <w:multiLevelType w:val="hybridMultilevel"/>
    <w:lvl w:ilvl="0">
      <w:lvlJc w:val="left"/>
      <w:lvlText w:val="(%1)"/>
      <w:numFmt w:val="decimal"/>
      <w:start w:val="1"/>
    </w:lvl>
  </w:abstractNum>
  <w:abstractNum w:abstractNumId="15">
    <w:nsid w:val="6FC75AF8"/>
    <w:multiLevelType w:val="hybridMultilevel"/>
    <w:lvl w:ilvl="0">
      <w:lvlJc w:val="left"/>
      <w:lvlText w:val="(%1)"/>
      <w:numFmt w:val="decimal"/>
      <w:start w:val="1"/>
    </w:lvl>
  </w:abstractNum>
  <w:abstractNum w:abstractNumId="16">
    <w:nsid w:val="6A5F7029"/>
    <w:multiLevelType w:val="hybridMultilevel"/>
    <w:lvl w:ilvl="0">
      <w:lvlJc w:val="left"/>
      <w:lvlText w:val="(%1)"/>
      <w:numFmt w:val="decimal"/>
      <w:start w:val="3"/>
    </w:lvl>
  </w:abstractNum>
  <w:abstractNum w:abstractNumId="17">
    <w:nsid w:val="7D5E18F8"/>
    <w:multiLevelType w:val="hybridMultilevel"/>
    <w:lvl w:ilvl="0">
      <w:lvlJc w:val="left"/>
      <w:lvlText w:val="(%1)"/>
      <w:numFmt w:val="decimal"/>
      <w:start w:val="1"/>
    </w:lvl>
  </w:abstractNum>
  <w:abstractNum w:abstractNumId="18">
    <w:nsid w:val="5F3534A4"/>
    <w:multiLevelType w:val="hybridMultilevel"/>
    <w:lvl w:ilvl="0">
      <w:lvlJc w:val="left"/>
      <w:lvlText w:val="(%1)"/>
      <w:numFmt w:val="decimal"/>
      <w:start w:val="1"/>
    </w:lvl>
  </w:abstractNum>
  <w:abstractNum w:abstractNumId="19">
    <w:nsid w:val="73A1821B"/>
    <w:multiLevelType w:val="hybridMultilevel"/>
    <w:lvl w:ilvl="0">
      <w:lvlJc w:val="left"/>
      <w:lvlText w:val="%1."/>
      <w:numFmt w:val="decimal"/>
      <w:start w:val="1"/>
    </w:lvl>
  </w:abstractNum>
  <w:abstractNum w:abstractNumId="20">
    <w:nsid w:val="7DE67713"/>
    <w:multiLevelType w:val="hybridMultilevel"/>
    <w:lvl w:ilvl="0">
      <w:lvlJc w:val="left"/>
      <w:lvlText w:val="(%1)"/>
      <w:numFmt w:val="lowerLetter"/>
      <w:start w:val="20"/>
    </w:lvl>
    <w:lvl w:ilvl="1">
      <w:lvlJc w:val="left"/>
      <w:lvlText w:val="•"/>
      <w:numFmt w:val="bullet"/>
      <w:start w:val="1"/>
    </w:lvl>
  </w:abstractNum>
  <w:abstractNum w:abstractNumId="21">
    <w:nsid w:val="555C55B5"/>
    <w:multiLevelType w:val="hybridMultilevel"/>
    <w:lvl w:ilvl="0">
      <w:lvlJc w:val="left"/>
      <w:lvlText w:val="%1."/>
      <w:numFmt w:val="decimal"/>
      <w:start w:val="2"/>
    </w:lvl>
  </w:abstractNum>
  <w:abstractNum w:abstractNumId="22">
    <w:nsid w:val="3FA62ACA"/>
    <w:multiLevelType w:val="hybridMultilevel"/>
    <w:lvl w:ilvl="0">
      <w:lvlJc w:val="left"/>
      <w:lvlText w:val="%1."/>
      <w:numFmt w:val="decimal"/>
      <w:start w:val="3"/>
    </w:lvl>
  </w:abstractNum>
  <w:abstractNum w:abstractNumId="23">
    <w:nsid w:val="14FCE74E"/>
    <w:multiLevelType w:val="hybridMultilevel"/>
    <w:lvl w:ilvl="0">
      <w:lvlJc w:val="left"/>
      <w:lvlText w:val="%1."/>
      <w:numFmt w:val="decimal"/>
      <w:start w:val="4"/>
    </w:lvl>
  </w:abstractNum>
  <w:abstractNum w:abstractNumId="24">
    <w:nsid w:val="6A3DD3E8"/>
    <w:multiLevelType w:val="hybridMultilevel"/>
    <w:lvl w:ilvl="0">
      <w:lvlJc w:val="left"/>
      <w:lvlText w:val="%1."/>
      <w:numFmt w:val="decimal"/>
      <w:start w:val="5"/>
    </w:lvl>
  </w:abstractNum>
  <w:abstractNum w:abstractNumId="25">
    <w:nsid w:val="71C91298"/>
    <w:multiLevelType w:val="hybridMultilevel"/>
    <w:lvl w:ilvl="0">
      <w:lvlJc w:val="left"/>
      <w:lvlText w:val="(%1)"/>
      <w:numFmt w:val="decimal"/>
      <w:start w:val="1"/>
    </w:lvl>
  </w:abstractNum>
  <w:abstractNum w:abstractNumId="26">
    <w:nsid w:val="9DAF632"/>
    <w:multiLevelType w:val="hybridMultilevel"/>
    <w:lvl w:ilvl="0">
      <w:lvlJc w:val="left"/>
      <w:lvlText w:val="(%1)"/>
      <w:numFmt w:val="decimal"/>
      <w:start w:val="1"/>
    </w:lvl>
  </w:abstractNum>
  <w:abstractNum w:abstractNumId="27">
    <w:nsid w:val="53299938"/>
    <w:multiLevelType w:val="hybridMultilevel"/>
    <w:lvl w:ilvl="0">
      <w:lvlJc w:val="left"/>
      <w:lvlText w:val="%1."/>
      <w:numFmt w:val="decimal"/>
      <w:start w:val="6"/>
    </w:lvl>
  </w:abstractNum>
  <w:abstractNum w:abstractNumId="28">
    <w:nsid w:val="1FBFE8E0"/>
    <w:multiLevelType w:val="hybridMultilevel"/>
    <w:lvl w:ilvl="0">
      <w:lvlJc w:val="left"/>
      <w:lvlText w:val="(%1)"/>
      <w:numFmt w:val="decimal"/>
      <w:start w:val="1"/>
    </w:lvl>
  </w:abstractNum>
  <w:abstractNum w:abstractNumId="29">
    <w:nsid w:val="5092CA79"/>
    <w:multiLevelType w:val="hybridMultilevel"/>
    <w:lvl w:ilvl="0">
      <w:lvlJc w:val="left"/>
      <w:lvlText w:val="%1."/>
      <w:numFmt w:val="decimal"/>
      <w:start w:val="7"/>
    </w:lvl>
  </w:abstractNum>
  <w:abstractNum w:abstractNumId="30">
    <w:nsid w:val="1D545C4D"/>
    <w:multiLevelType w:val="hybridMultilevel"/>
    <w:lvl w:ilvl="0">
      <w:lvlJc w:val="left"/>
      <w:lvlText w:val="%1."/>
      <w:numFmt w:val="decimal"/>
      <w:start w:val="8"/>
    </w:lvl>
  </w:abstractNum>
  <w:abstractNum w:abstractNumId="31">
    <w:nsid w:val="59ADEA3D"/>
    <w:multiLevelType w:val="hybridMultilevel"/>
    <w:lvl w:ilvl="0">
      <w:lvlJc w:val="left"/>
      <w:lvlText w:val="(%1)"/>
      <w:numFmt w:val="decimal"/>
      <w:start w:val="1"/>
    </w:lvl>
  </w:abstractNum>
  <w:abstractNum w:abstractNumId="32">
    <w:nsid w:val="288F1A34"/>
    <w:multiLevelType w:val="hybridMultilevel"/>
    <w:lvl w:ilvl="0">
      <w:lvlJc w:val="left"/>
      <w:lvlText w:val="(%1)"/>
      <w:numFmt w:val="decimal"/>
      <w:start w:val="1"/>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decimal"/>
      <w:start w:val="9"/>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1)"/>
      <w:numFmt w:val="decimal"/>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1)"/>
      <w:numFmt w:val="decimal"/>
      <w:start w:val="1"/>
    </w:lvl>
  </w:abstractNum>
  <w:abstractNum w:abstractNumId="40">
    <w:nsid w:val="7C58FD05"/>
    <w:multiLevelType w:val="hybridMultilevel"/>
    <w:lvl w:ilvl="0">
      <w:lvlJc w:val="left"/>
      <w:lvlText w:val="%1."/>
      <w:numFmt w:val="decimal"/>
      <w:start w:val="12"/>
    </w:lvl>
  </w:abstractNum>
  <w:abstractNum w:abstractNumId="41">
    <w:nsid w:val="23D86AAC"/>
    <w:multiLevelType w:val="hybridMultilevel"/>
    <w:lvl w:ilvl="0">
      <w:lvlJc w:val="left"/>
      <w:lvlText w:val="%1."/>
      <w:numFmt w:val="decimal"/>
      <w:start w:val="13"/>
    </w:lvl>
  </w:abstractNum>
  <w:abstractNum w:abstractNumId="42">
    <w:nsid w:val="45E6D486"/>
    <w:multiLevelType w:val="hybridMultilevel"/>
    <w:lvl w:ilvl="0">
      <w:lvlJc w:val="left"/>
      <w:lvlText w:val="(%1)"/>
      <w:numFmt w:val="decimal"/>
      <w:start w:val="1"/>
    </w:lvl>
  </w:abstractNum>
  <w:abstractNum w:abstractNumId="43">
    <w:nsid w:val="5C10FE21"/>
    <w:multiLevelType w:val="hybridMultilevel"/>
    <w:lvl w:ilvl="0">
      <w:lvlJc w:val="left"/>
      <w:lvlText w:val="(%1)"/>
      <w:numFmt w:val="decimal"/>
      <w:start w:val="1"/>
    </w:lvl>
  </w:abstractNum>
  <w:abstractNum w:abstractNumId="44">
    <w:nsid w:val="E7FFA2B"/>
    <w:multiLevelType w:val="hybridMultilevel"/>
    <w:lvl w:ilvl="0">
      <w:lvlJc w:val="left"/>
      <w:lvlText w:val="(%1)"/>
      <w:numFmt w:val="decimal"/>
      <w:start w:val="1"/>
    </w:lvl>
  </w:abstractNum>
  <w:abstractNum w:abstractNumId="45">
    <w:nsid w:val="3C5991AA"/>
    <w:multiLevelType w:val="hybridMultilevel"/>
    <w:lvl w:ilvl="0">
      <w:lvlJc w:val="left"/>
      <w:lvlText w:val="%1."/>
      <w:numFmt w:val="decimal"/>
      <w:start w:val="22"/>
    </w:lvl>
  </w:abstractNum>
  <w:abstractNum w:abstractNumId="46">
    <w:nsid w:val="4BD8591A"/>
    <w:multiLevelType w:val="hybridMultilevel"/>
    <w:lvl w:ilvl="0">
      <w:lvlJc w:val="left"/>
      <w:lvlText w:val="%1."/>
      <w:numFmt w:val="decimal"/>
      <w:start w:val="23"/>
    </w:lvl>
  </w:abstractNum>
  <w:abstractNum w:abstractNumId="47">
    <w:nsid w:val="78DF6A55"/>
    <w:multiLevelType w:val="hybridMultilevel"/>
    <w:lvl w:ilvl="0">
      <w:lvlJc w:val="left"/>
      <w:lvlText w:val="(%1)"/>
      <w:numFmt w:val="decimal"/>
      <w:start w:val="1"/>
    </w:lvl>
  </w:abstractNum>
  <w:abstractNum w:abstractNumId="48">
    <w:nsid w:val="39B7AAA2"/>
    <w:multiLevelType w:val="hybridMultilevel"/>
    <w:lvl w:ilvl="0">
      <w:lvlJc w:val="left"/>
      <w:lvlText w:val="(%1)"/>
      <w:numFmt w:val="decimal"/>
      <w:start w:val="1"/>
    </w:lvl>
  </w:abstractNum>
  <w:abstractNum w:abstractNumId="49">
    <w:nsid w:val="2B0D8DBE"/>
    <w:multiLevelType w:val="hybridMultilevel"/>
    <w:lvl w:ilvl="0">
      <w:lvlJc w:val="left"/>
      <w:lvlText w:val="(%1)"/>
      <w:numFmt w:val="lowerRoman"/>
      <w:start w:val="1"/>
    </w:lvl>
  </w:abstractNum>
  <w:abstractNum w:abstractNumId="50">
    <w:nsid w:val="6C80EC70"/>
    <w:multiLevelType w:val="hybridMultilevel"/>
    <w:lvl w:ilvl="0">
      <w:lvlJc w:val="left"/>
      <w:lvlText w:val="%1"/>
      <w:numFmt w:val="decimal"/>
      <w:start w:val="101"/>
    </w:lvl>
  </w:abstractNum>
  <w:abstractNum w:abstractNumId="51">
    <w:nsid w:val="379E21B5"/>
    <w:multiLevelType w:val="hybridMultilevel"/>
    <w:lvl w:ilvl="0">
      <w:lvlJc w:val="left"/>
      <w:lvlText w:val="†"/>
      <w:numFmt w:val="bullet"/>
      <w:start w:val="1"/>
    </w:lvl>
    <w:lvl w:ilvl="1">
      <w:lvlJc w:val="left"/>
      <w:lvlText w:val="%2"/>
      <w:numFmt w:val="decimal"/>
      <w:start w:val="104"/>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1)"/>
      <w:numFmt w:val="decimal"/>
      <w:start w:val="62"/>
    </w:lvl>
  </w:abstractNum>
  <w:abstractNum w:abstractNumId="56">
    <w:nsid w:val="1DF029D3"/>
    <w:multiLevelType w:val="hybridMultilevel"/>
    <w:lvl w:ilvl="0">
      <w:lvlJc w:val="left"/>
      <w:lvlText w:val="(%1)"/>
      <w:numFmt w:val="lowerLetter"/>
      <w:start w:val="1"/>
    </w:lvl>
  </w:abstractNum>
  <w:abstractNum w:abstractNumId="57">
    <w:nsid w:val="5675FF36"/>
    <w:multiLevelType w:val="hybridMultilevel"/>
    <w:lvl w:ilvl="0">
      <w:lvlJc w:val="left"/>
      <w:lvlText w:val="(%1)"/>
      <w:numFmt w:val="lowerLetter"/>
      <w:start w:val="3"/>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
      <w:numFmt w:val="bullet"/>
      <w:start w:val="1"/>
    </w:lvl>
  </w:abstractNum>
  <w:abstractNum w:abstractNumId="63">
    <w:nsid w:val="4F97E3E4"/>
    <w:multiLevelType w:val="hybridMultilevel"/>
    <w:lvl w:ilvl="0">
      <w:lvlJc w:val="left"/>
      <w:lvlText w:val="%1."/>
      <w:numFmt w:val="decimal"/>
      <w:start w:val="1"/>
    </w:lvl>
  </w:abstractNum>
  <w:abstractNum w:abstractNumId="64">
    <w:nsid w:val="53B0A9E"/>
    <w:multiLevelType w:val="hybridMultilevel"/>
    <w:lvl w:ilvl="0">
      <w:lvlJc w:val="left"/>
      <w:lvlText w:val="%1."/>
      <w:numFmt w:val="decimal"/>
      <w:start w:val="2"/>
    </w:lvl>
  </w:abstractNum>
  <w:abstractNum w:abstractNumId="65">
    <w:nsid w:val="34FD6B4F"/>
    <w:multiLevelType w:val="hybridMultilevel"/>
    <w:lvl w:ilvl="0">
      <w:lvlJc w:val="left"/>
      <w:lvlText w:val="%1."/>
      <w:numFmt w:val="decimal"/>
      <w:start w:val="1"/>
    </w:lvl>
  </w:abstractNum>
  <w:abstractNum w:abstractNumId="66">
    <w:nsid w:val="5915FF32"/>
    <w:multiLevelType w:val="hybridMultilevel"/>
    <w:lvl w:ilvl="0">
      <w:lvlJc w:val="left"/>
      <w:lvlText w:val="(%1)"/>
      <w:numFmt w:val="lowerLetter"/>
      <w:start w:val="1"/>
    </w:lvl>
  </w:abstractNum>
  <w:abstractNum w:abstractNumId="67">
    <w:nsid w:val="56438D15"/>
    <w:multiLevelType w:val="hybridMultilevel"/>
    <w:lvl w:ilvl="0">
      <w:lvlJc w:val="left"/>
      <w:lvlText w:val="%1."/>
      <w:numFmt w:val="decimal"/>
      <w:start w:val="2"/>
    </w:lvl>
  </w:abstractNum>
  <w:abstractNum w:abstractNumId="68">
    <w:nsid w:val="519E3149"/>
    <w:multiLevelType w:val="hybridMultilevel"/>
    <w:lvl w:ilvl="0">
      <w:lvlJc w:val="left"/>
      <w:lvlText w:val="(%1)"/>
      <w:numFmt w:val="lowerLetter"/>
      <w:start w:val="1"/>
    </w:lvl>
    <w:lvl w:ilvl="1">
      <w:lvlJc w:val="left"/>
      <w:lvlText w:val="%2."/>
      <w:numFmt w:val="lowerRoman"/>
      <w:start w:val="1"/>
    </w:lvl>
  </w:abstractNum>
  <w:abstractNum w:abstractNumId="69">
    <w:nsid w:val="2C6E4AFD"/>
    <w:multiLevelType w:val="hybridMultilevel"/>
    <w:lvl w:ilvl="0">
      <w:lvlJc w:val="left"/>
      <w:lvlText w:val="(%1)"/>
      <w:numFmt w:val="lowerLetter"/>
      <w:start w:val="3"/>
    </w:lvl>
  </w:abstractNum>
  <w:abstractNum w:abstractNumId="70">
    <w:nsid w:val="17A1B582"/>
    <w:multiLevelType w:val="hybridMultilevel"/>
    <w:lvl w:ilvl="0">
      <w:lvlJc w:val="left"/>
      <w:lvlText w:val="%1."/>
      <w:numFmt w:val="lowerRoman"/>
      <w:start w:val="1"/>
    </w:lvl>
  </w:abstractNum>
  <w:abstractNum w:abstractNumId="71">
    <w:nsid w:val="4DF72E4E"/>
    <w:multiLevelType w:val="hybridMultilevel"/>
    <w:lvl w:ilvl="0">
      <w:lvlJc w:val="left"/>
      <w:lvlText w:val="(%1)"/>
      <w:numFmt w:val="lowerLetter"/>
      <w:start w:val="4"/>
    </w:lvl>
    <w:lvl w:ilvl="1">
      <w:lvlJc w:val="left"/>
      <w:lvlText w:val="%2."/>
      <w:numFmt w:val="lowerRoman"/>
      <w:start w:val="1"/>
    </w:lvl>
  </w:abstractNum>
  <w:abstractNum w:abstractNumId="72">
    <w:nsid w:val="5046B5A9"/>
    <w:multiLevelType w:val="hybridMultilevel"/>
    <w:lvl w:ilvl="0">
      <w:lvlJc w:val="left"/>
      <w:lvlText w:val="(%1)"/>
      <w:numFmt w:val="lowerLetter"/>
      <w:start w:val="6"/>
    </w:lvl>
  </w:abstractNum>
  <w:abstractNum w:abstractNumId="73">
    <w:nsid w:val="5D888A08"/>
    <w:multiLevelType w:val="hybridMultilevel"/>
    <w:lvl w:ilvl="0">
      <w:lvlJc w:val="left"/>
      <w:lvlText w:val="(%1)"/>
      <w:numFmt w:val="lowerLetter"/>
      <w:start w:val="8"/>
    </w:lvl>
  </w:abstractNum>
  <w:abstractNum w:abstractNumId="74">
    <w:nsid w:val="2A082C70"/>
    <w:multiLevelType w:val="hybridMultilevel"/>
    <w:lvl w:ilvl="0">
      <w:lvlJc w:val="left"/>
      <w:lvlText w:val="%1."/>
      <w:numFmt w:val="decimal"/>
      <w:start w:val="3"/>
    </w:lvl>
  </w:abstractNum>
  <w:abstractNum w:abstractNumId="75">
    <w:nsid w:val="5EC6AFD4"/>
    <w:multiLevelType w:val="hybridMultilevel"/>
    <w:lvl w:ilvl="0">
      <w:lvlJc w:val="left"/>
      <w:lvlText w:val="(%1)"/>
      <w:numFmt w:val="lowerLetter"/>
      <w:start w:val="1"/>
    </w:lvl>
  </w:abstractNum>
  <w:abstractNum w:abstractNumId="76">
    <w:nsid w:val="19E21BB2"/>
    <w:multiLevelType w:val="hybridMultilevel"/>
    <w:lvl w:ilvl="0">
      <w:lvlJc w:val="left"/>
      <w:lvlText w:val="(%1)"/>
      <w:numFmt w:val="lowerLetter"/>
      <w:start w:val="2"/>
    </w:lvl>
  </w:abstractNum>
  <w:abstractNum w:abstractNumId="77">
    <w:nsid w:val="75E0858A"/>
    <w:multiLevelType w:val="hybridMultilevel"/>
    <w:lvl w:ilvl="0">
      <w:lvlJc w:val="left"/>
      <w:lvlText w:val="%1."/>
      <w:numFmt w:val="decimal"/>
      <w:start w:val="4"/>
    </w:lvl>
  </w:abstractNum>
  <w:abstractNum w:abstractNumId="78">
    <w:nsid w:val="57A61A29"/>
    <w:multiLevelType w:val="hybridMultilevel"/>
    <w:lvl w:ilvl="0">
      <w:lvlJc w:val="left"/>
      <w:lvlText w:val="%1."/>
      <w:numFmt w:val="decimal"/>
      <w:start w:val="5"/>
    </w:lvl>
  </w:abstractNum>
  <w:abstractNum w:abstractNumId="79">
    <w:nsid w:val="5399C654"/>
    <w:multiLevelType w:val="hybridMultilevel"/>
    <w:lvl w:ilvl="0">
      <w:lvlJc w:val="left"/>
      <w:lvlText w:val="%1."/>
      <w:numFmt w:val="decimal"/>
      <w:start w:val="6"/>
    </w:lvl>
  </w:abstractNum>
  <w:abstractNum w:abstractNumId="80">
    <w:nsid w:val="20EE1348"/>
    <w:multiLevelType w:val="hybridMultilevel"/>
    <w:lvl w:ilvl="0">
      <w:lvlJc w:val="left"/>
      <w:lvlText w:val="(%1)"/>
      <w:numFmt w:val="lowerLetter"/>
      <w:start w:val="1"/>
    </w:lvl>
  </w:abstractNum>
  <w:abstractNum w:abstractNumId="81">
    <w:nsid w:val="4427069A"/>
    <w:multiLevelType w:val="hybridMultilevel"/>
    <w:lvl w:ilvl="0">
      <w:lvlJc w:val="left"/>
      <w:lvlText w:val="(%1)"/>
      <w:numFmt w:val="lowerLetter"/>
      <w:start w:val="2"/>
    </w:lvl>
  </w:abstractNum>
  <w:abstractNum w:abstractNumId="82">
    <w:nsid w:val="B37E80A"/>
    <w:multiLevelType w:val="hybridMultilevel"/>
    <w:lvl w:ilvl="0">
      <w:lvlJc w:val="left"/>
      <w:lvlText w:val="%1."/>
      <w:numFmt w:val="lowerRoman"/>
      <w:start w:val="1"/>
    </w:lvl>
  </w:abstractNum>
  <w:abstractNum w:abstractNumId="83">
    <w:nsid w:val="2157F6BC"/>
    <w:multiLevelType w:val="hybridMultilevel"/>
    <w:lvl w:ilvl="0">
      <w:lvlJc w:val="left"/>
      <w:lvlText w:val="(%1)"/>
      <w:numFmt w:val="lowerLetter"/>
      <w:start w:val="4"/>
    </w:lvl>
  </w:abstractNum>
  <w:abstractNum w:abstractNumId="84">
    <w:nsid w:val="704E1DD5"/>
    <w:multiLevelType w:val="hybridMultilevel"/>
    <w:lvl w:ilvl="0">
      <w:lvlJc w:val="left"/>
      <w:lvlText w:val="(%1)"/>
      <w:numFmt w:val="lowerLetter"/>
      <w:start w:val="6"/>
    </w:lvl>
  </w:abstractNum>
  <w:abstractNum w:abstractNumId="85">
    <w:nsid w:val="57D2F10E"/>
    <w:multiLevelType w:val="hybridMultilevel"/>
    <w:lvl w:ilvl="0">
      <w:lvlJc w:val="left"/>
      <w:lvlText w:val="(%1)"/>
      <w:numFmt w:val="lowerLetter"/>
      <w:start w:val="8"/>
    </w:lvl>
  </w:abstractNum>
  <w:abstractNum w:abstractNumId="86">
    <w:nsid w:val="BFFAE18"/>
    <w:multiLevelType w:val="hybridMultilevel"/>
    <w:lvl w:ilvl="0">
      <w:lvlJc w:val="left"/>
      <w:lvlText w:val="%1."/>
      <w:numFmt w:val="decimal"/>
      <w:start w:val="8"/>
    </w:lvl>
  </w:abstractNum>
  <w:abstractNum w:abstractNumId="87">
    <w:nsid w:val="E3E47A8"/>
    <w:multiLevelType w:val="hybridMultilevel"/>
    <w:lvl w:ilvl="0">
      <w:lvlJc w:val="left"/>
      <w:lvlText w:val="(%1)"/>
      <w:numFmt w:val="lowerLetter"/>
      <w:start w:val="1"/>
    </w:lvl>
  </w:abstractNum>
  <w:abstractNum w:abstractNumId="88">
    <w:nsid w:val="2E48F044"/>
    <w:multiLevelType w:val="hybridMultilevel"/>
    <w:lvl w:ilvl="0">
      <w:lvlJc w:val="left"/>
      <w:lvlText w:val="(%1)"/>
      <w:numFmt w:val="lowerLetter"/>
      <w:start w:val="3"/>
    </w:lvl>
  </w:abstractNum>
  <w:abstractNum w:abstractNumId="89">
    <w:nsid w:val="49D0FEAC"/>
    <w:multiLevelType w:val="hybridMultilevel"/>
    <w:lvl w:ilvl="0">
      <w:lvlJc w:val="left"/>
      <w:lvlText w:val="%1."/>
      <w:numFmt w:val="decimal"/>
      <w:start w:val="10"/>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decimal"/>
      <w:start w:val="12"/>
    </w:lvl>
  </w:abstractNum>
  <w:abstractNum w:abstractNumId="92">
    <w:nsid w:val="24F6AB8E"/>
    <w:multiLevelType w:val="hybridMultilevel"/>
    <w:lvl w:ilvl="0">
      <w:lvlJc w:val="left"/>
      <w:lvlText w:val="%1."/>
      <w:numFmt w:val="decimal"/>
      <w:start w:val="14"/>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lowerLetter"/>
      <w:start w:val="6"/>
    </w:lvl>
  </w:abstractNum>
  <w:abstractNum w:abstractNumId="95">
    <w:nsid w:val="2A31B62D"/>
    <w:multiLevelType w:val="hybridMultilevel"/>
    <w:lvl w:ilvl="0">
      <w:lvlJc w:val="left"/>
      <w:lvlText w:val="%1."/>
      <w:numFmt w:val="decimal"/>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decimal"/>
      <w:start w:val="3"/>
    </w:lvl>
  </w:abstractNum>
  <w:abstractNum w:abstractNumId="98">
    <w:nsid w:val="754342"/>
    <w:multiLevelType w:val="hybridMultilevel"/>
    <w:lvl w:ilvl="0">
      <w:lvlJc w:val="left"/>
      <w:lvlText w:val="(%1)"/>
      <w:numFmt w:val="lowerLetter"/>
      <w:start w:val="1"/>
    </w:lvl>
    <w:lvl w:ilvl="1">
      <w:lvlJc w:val="left"/>
      <w:lvlText w:val="%2."/>
      <w:numFmt w:val="lowerRoman"/>
      <w:start w:val="1"/>
    </w:lvl>
  </w:abstractNum>
  <w:abstractNum w:abstractNumId="99">
    <w:nsid w:val="69E7F3E5"/>
    <w:multiLevelType w:val="hybridMultilevel"/>
    <w:lvl w:ilvl="0">
      <w:lvlJc w:val="left"/>
      <w:lvlText w:val="(%1)"/>
      <w:numFmt w:val="lowerLetter"/>
      <w:start w:val="4"/>
    </w:lvl>
  </w:abstractNum>
  <w:abstractNum w:abstractNumId="100">
    <w:nsid w:val="2A6DE806"/>
    <w:multiLevelType w:val="hybridMultilevel"/>
    <w:lvl w:ilvl="0">
      <w:lvlJc w:val="left"/>
      <w:lvlText w:val="(%1)"/>
      <w:numFmt w:val="lowerLetter"/>
      <w:start w:val="5"/>
    </w:lvl>
  </w:abstractNum>
  <w:abstractNum w:abstractNumId="101">
    <w:nsid w:val="1816F8C4"/>
    <w:multiLevelType w:val="hybridMultilevel"/>
    <w:lvl w:ilvl="0">
      <w:lvlJc w:val="left"/>
      <w:lvlText w:val="%1."/>
      <w:numFmt w:val="lowerRoman"/>
      <w:start w:val="1"/>
    </w:lvl>
  </w:abstractNum>
  <w:abstractNum w:abstractNumId="102">
    <w:nsid w:val="37DF2233"/>
    <w:multiLevelType w:val="hybridMultilevel"/>
    <w:lvl w:ilvl="0">
      <w:lvlJc w:val="left"/>
      <w:lvlText w:val="%1"/>
      <w:numFmt w:val="lowerLetter"/>
      <w:start w:val="1"/>
    </w:lvl>
    <w:lvl w:ilvl="1">
      <w:lvlJc w:val="left"/>
      <w:lvlText w:val="%2."/>
      <w:numFmt w:val="lowerRoman"/>
      <w:start w:val="2"/>
    </w:lvl>
  </w:abstractNum>
  <w:abstractNum w:abstractNumId="103">
    <w:nsid w:val="7AB49DAF"/>
    <w:multiLevelType w:val="hybridMultilevel"/>
    <w:lvl w:ilvl="0">
      <w:lvlJc w:val="left"/>
      <w:lvlText w:val="(%1)"/>
      <w:numFmt w:val="lowerLetter"/>
      <w:start w:val="6"/>
    </w:lvl>
    <w:lvl w:ilvl="1">
      <w:lvlJc w:val="left"/>
      <w:lvlText w:val="%2"/>
      <w:numFmt w:val="lowerRoman"/>
      <w:start w:val="1"/>
    </w:lvl>
  </w:abstractNum>
  <w:abstractNum w:abstractNumId="104">
    <w:nsid w:val="759F82CD"/>
    <w:multiLevelType w:val="hybridMultilevel"/>
    <w:lvl w:ilvl="0">
      <w:lvlJc w:val="left"/>
      <w:lvlText w:val="(%1)"/>
      <w:numFmt w:val="lowerLetter"/>
      <w:start w:val="9"/>
    </w:lvl>
    <w:lvl w:ilvl="1">
      <w:lvlJc w:val="left"/>
      <w:lvlText w:val="%2."/>
      <w:numFmt w:val="lowerRoman"/>
      <w:start w:val="1"/>
    </w:lvl>
  </w:abstractNum>
  <w:abstractNum w:abstractNumId="105">
    <w:nsid w:val="61E74EA3"/>
    <w:multiLevelType w:val="hybridMultilevel"/>
    <w:lvl w:ilvl="0">
      <w:lvlJc w:val="left"/>
      <w:lvlText w:val="(%1)"/>
      <w:numFmt w:val="lowerLetter"/>
      <w:start w:val="12"/>
    </w:lvl>
  </w:abstractNum>
  <w:abstractNum w:abstractNumId="106">
    <w:nsid w:val="597B4D84"/>
    <w:multiLevelType w:val="hybridMultilevel"/>
    <w:lvl w:ilvl="0">
      <w:lvlJc w:val="left"/>
      <w:lvlText w:val="(%1)"/>
      <w:numFmt w:val="lowerLetter"/>
      <w:start w:val="13"/>
    </w:lvl>
  </w:abstractNum>
  <w:abstractNum w:abstractNumId="107">
    <w:nsid w:val="F819E7F"/>
    <w:multiLevelType w:val="hybridMultilevel"/>
    <w:lvl w:ilvl="0">
      <w:lvlJc w:val="left"/>
      <w:lvlText w:val="(%1)"/>
      <w:numFmt w:val="lowerLetter"/>
      <w:start w:val="19"/>
    </w:lvl>
  </w:abstractNum>
  <w:abstractNum w:abstractNumId="108">
    <w:nsid w:val="57C7D42D"/>
    <w:multiLevelType w:val="hybridMultilevel"/>
    <w:lvl w:ilvl="0">
      <w:lvlJc w:val="left"/>
      <w:lvlText w:val="%1."/>
      <w:numFmt w:val="decimal"/>
      <w:start w:val="4"/>
    </w:lvl>
  </w:abstractNum>
  <w:abstractNum w:abstractNumId="109">
    <w:nsid w:val="312167AD"/>
    <w:multiLevelType w:val="hybridMultilevel"/>
    <w:lvl w:ilvl="0">
      <w:lvlJc w:val="left"/>
      <w:lvlText w:val="%1"/>
      <w:numFmt w:val="lowerLetter"/>
      <w:start w:val="1"/>
    </w:lvl>
    <w:lvl w:ilvl="1">
      <w:lvlJc w:val="left"/>
      <w:lvlText w:val="(%2)"/>
      <w:numFmt w:val="lowerLetter"/>
      <w:start w:val="1"/>
    </w:lvl>
  </w:abstractNum>
  <w:abstractNum w:abstractNumId="110">
    <w:nsid w:val="631B64D4"/>
    <w:multiLevelType w:val="hybridMultilevel"/>
    <w:lvl w:ilvl="0">
      <w:lvlJc w:val="left"/>
      <w:lvlText w:val="(%1)"/>
      <w:numFmt w:val="lowerLetter"/>
      <w:start w:val="9"/>
    </w:lvl>
    <w:lvl w:ilvl="1">
      <w:lvlJc w:val="left"/>
      <w:lvlText w:val="(%2)"/>
      <w:numFmt w:val="lowerLetter"/>
      <w:start w:val="2"/>
    </w:lvl>
  </w:abstractNum>
  <w:abstractNum w:abstractNumId="111">
    <w:nsid w:val="78B5E776"/>
    <w:multiLevelType w:val="hybridMultilevel"/>
    <w:lvl w:ilvl="0">
      <w:lvlJc w:val="left"/>
      <w:lvlText w:val="%1."/>
      <w:numFmt w:val="decimal"/>
      <w:start w:val="5"/>
    </w:lvl>
  </w:abstractNum>
  <w:abstractNum w:abstractNumId="112">
    <w:nsid w:val="75486E47"/>
    <w:multiLevelType w:val="hybridMultilevel"/>
    <w:lvl w:ilvl="0">
      <w:lvlJc w:val="left"/>
      <w:lvlText w:val="(%1)"/>
      <w:numFmt w:val="lowerLetter"/>
      <w:start w:val="1"/>
    </w:lvl>
    <w:lvl w:ilvl="1">
      <w:lvlJc w:val="left"/>
      <w:lvlText w:val="%2."/>
      <w:numFmt w:val="lowerRoman"/>
      <w:start w:val="1"/>
    </w:lvl>
  </w:abstractNum>
  <w:abstractNum w:abstractNumId="113">
    <w:nsid w:val="6E534CDE"/>
    <w:multiLevelType w:val="hybridMultilevel"/>
    <w:lvl w:ilvl="0">
      <w:lvlJc w:val="left"/>
      <w:lvlText w:val="%1"/>
      <w:numFmt w:val="decimal"/>
      <w:start w:val="1"/>
    </w:lvl>
    <w:lvl w:ilvl="1">
      <w:lvlJc w:val="left"/>
      <w:lvlText w:val="%2."/>
      <w:numFmt w:val="lowerRoman"/>
      <w:start w:val="1"/>
    </w:lvl>
  </w:abstractNum>
  <w:abstractNum w:abstractNumId="114">
    <w:nsid w:val="1A0DDE32"/>
    <w:multiLevelType w:val="hybridMultilevel"/>
    <w:lvl w:ilvl="0">
      <w:lvlJc w:val="left"/>
      <w:lvlText w:val="%1."/>
      <w:numFmt w:val="decimal"/>
      <w:start w:val="6"/>
    </w:lvl>
    <w:lvl w:ilvl="1">
      <w:lvlJc w:val="left"/>
      <w:lvlText w:val="%2"/>
      <w:numFmt w:val="lowerRoman"/>
      <w:start w:val="1"/>
    </w:lvl>
  </w:abstractNum>
  <w:abstractNum w:abstractNumId="115">
    <w:nsid w:val="65968C1C"/>
    <w:multiLevelType w:val="hybridMultilevel"/>
    <w:lvl w:ilvl="0">
      <w:lvlJc w:val="left"/>
      <w:lvlText w:val="%1."/>
      <w:numFmt w:val="decimal"/>
      <w:start w:val="7"/>
    </w:lvl>
  </w:abstractNum>
  <w:abstractNum w:abstractNumId="116">
    <w:nsid w:val="46263DEC"/>
    <w:multiLevelType w:val="hybridMultilevel"/>
    <w:lvl w:ilvl="0">
      <w:lvlJc w:val="left"/>
      <w:lvlText w:val="%1."/>
      <w:numFmt w:val="decimal"/>
      <w:start w:val="9"/>
    </w:lvl>
  </w:abstractNum>
  <w:abstractNum w:abstractNumId="117">
    <w:nsid w:val="260D8C4A"/>
    <w:multiLevelType w:val="hybridMultilevel"/>
    <w:lvl w:ilvl="0">
      <w:lvlJc w:val="left"/>
      <w:lvlText w:val="%1"/>
      <w:numFmt w:val="upperLetter"/>
      <w:start w:val="1"/>
    </w:lvl>
    <w:lvl w:ilvl="1">
      <w:lvlJc w:val="left"/>
      <w:lvlText w:val="(%2)"/>
      <w:numFmt w:val="lowerLetter"/>
      <w:start w:val="1"/>
    </w:lvl>
  </w:abstractNum>
  <w:abstractNum w:abstractNumId="118">
    <w:nsid w:val="73D4D3C4"/>
    <w:multiLevelType w:val="hybridMultilevel"/>
    <w:lvl w:ilvl="0">
      <w:lvlJc w:val="left"/>
      <w:lvlText w:val="(%1)"/>
      <w:numFmt w:val="upperLetter"/>
      <w:start w:val="1"/>
    </w:lvl>
    <w:lvl w:ilvl="1">
      <w:lvlJc w:val="left"/>
      <w:lvlText w:val="%2"/>
      <w:numFmt w:val="lowerLetter"/>
      <w:start w:val="1"/>
    </w:lvl>
  </w:abstractNum>
  <w:abstractNum w:abstractNumId="119">
    <w:nsid w:val="746F2E3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0">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1">
    <w:nsid w:val="3FC32E20"/>
    <w:multiLevelType w:val="hybridMultilevel"/>
    <w:lvl w:ilvl="0">
      <w:lvlJc w:val="left"/>
      <w:lvlText w:val="%1."/>
      <w:numFmt w:val="lowerRoman"/>
      <w:start w:val="3"/>
    </w:lvl>
  </w:abstractNum>
  <w:abstractNum w:abstractNumId="122">
    <w:nsid w:val="49C0E823"/>
    <w:multiLevelType w:val="hybridMultilevel"/>
    <w:lvl w:ilvl="0">
      <w:lvlJc w:val="left"/>
      <w:lvlText w:val="%1"/>
      <w:numFmt w:val="lowerLetter"/>
      <w:start w:val="1"/>
    </w:lvl>
    <w:lvl w:ilvl="1">
      <w:lvlJc w:val="left"/>
      <w:lvlText w:val="(%2)"/>
      <w:numFmt w:val="lowerLetter"/>
      <w:start w:val="4"/>
    </w:lvl>
  </w:abstractNum>
  <w:abstractNum w:abstractNumId="123">
    <w:nsid w:val="14D53685"/>
    <w:multiLevelType w:val="hybridMultilevel"/>
    <w:lvl w:ilvl="0">
      <w:lvlJc w:val="left"/>
      <w:lvlText w:val="(%1)"/>
      <w:numFmt w:val="lowerLetter"/>
      <w:start w:val="25"/>
    </w:lvl>
    <w:lvl w:ilvl="1">
      <w:lvlJc w:val="left"/>
      <w:lvlText w:val="%2"/>
      <w:numFmt w:val="lowerLetter"/>
      <w:start w:val="1"/>
    </w:lvl>
  </w:abstractNum>
  <w:abstractNum w:abstractNumId="124">
    <w:nsid w:val="230F856C"/>
    <w:multiLevelType w:val="hybridMultilevel"/>
    <w:lvl w:ilvl="0">
      <w:lvlJc w:val="left"/>
      <w:lvlText w:val="(%1)"/>
      <w:numFmt w:val="lowerLetter"/>
      <w:start w:val="6"/>
    </w:lvl>
  </w:abstractNum>
  <w:abstractNum w:abstractNumId="125">
    <w:nsid w:val="6EAA85FB"/>
    <w:multiLevelType w:val="hybridMultilevel"/>
    <w:lvl w:ilvl="0">
      <w:lvlJc w:val="left"/>
      <w:lvlText w:val="%1."/>
      <w:numFmt w:val="decimal"/>
      <w:start w:val="10"/>
    </w:lvl>
  </w:abstractNum>
  <w:abstractNum w:abstractNumId="126">
    <w:nsid w:val="3F06ECB2"/>
    <w:multiLevelType w:val="hybridMultilevel"/>
    <w:lvl w:ilvl="0">
      <w:lvlJc w:val="left"/>
      <w:lvlText w:val="%1."/>
      <w:numFmt w:val="decimal"/>
      <w:start w:val="11"/>
    </w:lvl>
  </w:abstractNum>
  <w:abstractNum w:abstractNumId="127">
    <w:nsid w:val="3B594807"/>
    <w:multiLevelType w:val="hybridMultilevel"/>
    <w:lvl w:ilvl="0">
      <w:lvlJc w:val="left"/>
      <w:lvlText w:val="(%1)"/>
      <w:numFmt w:val="lowerLetter"/>
      <w:start w:val="1"/>
    </w:lvl>
  </w:abstractNum>
  <w:abstractNum w:abstractNumId="128">
    <w:nsid w:val="6CAA2304"/>
    <w:multiLevelType w:val="hybridMultilevel"/>
    <w:lvl w:ilvl="0">
      <w:lvlJc w:val="left"/>
      <w:lvlText w:val="(%1)"/>
      <w:numFmt w:val="lowerLetter"/>
      <w:start w:val="4"/>
    </w:lvl>
  </w:abstractNum>
  <w:abstractNum w:abstractNumId="129">
    <w:nsid w:val="3F7C2FF4"/>
    <w:multiLevelType w:val="hybridMultilevel"/>
    <w:lvl w:ilvl="0">
      <w:lvlJc w:val="left"/>
      <w:lvlText w:val="%1."/>
      <w:numFmt w:val="decimal"/>
      <w:start w:val="12"/>
    </w:lvl>
  </w:abstractNum>
  <w:abstractNum w:abstractNumId="130">
    <w:nsid w:val="25413BEC"/>
    <w:multiLevelType w:val="hybridMultilevel"/>
    <w:lvl w:ilvl="0">
      <w:lvlJc w:val="left"/>
      <w:lvlText w:val="(%1)"/>
      <w:numFmt w:val="lowerLetter"/>
      <w:start w:val="1"/>
    </w:lvl>
  </w:abstractNum>
  <w:abstractNum w:abstractNumId="131">
    <w:nsid w:val="17180B0B"/>
    <w:multiLevelType w:val="hybridMultilevel"/>
    <w:lvl w:ilvl="0">
      <w:lvlJc w:val="left"/>
      <w:lvlText w:val="%1."/>
      <w:numFmt w:val="decimal"/>
      <w:start w:val="14"/>
    </w:lvl>
  </w:abstractNum>
  <w:abstractNum w:abstractNumId="132">
    <w:nsid w:val="579328B9"/>
    <w:multiLevelType w:val="hybridMultilevel"/>
    <w:lvl w:ilvl="0">
      <w:lvlJc w:val="left"/>
      <w:lvlText w:val="%1."/>
      <w:numFmt w:val="decimal"/>
      <w:start w:val="16"/>
    </w:lvl>
  </w:abstractNum>
  <w:abstractNum w:abstractNumId="133">
    <w:nsid w:val="5D205E20"/>
    <w:multiLevelType w:val="hybridMultilevel"/>
    <w:lvl w:ilvl="0">
      <w:lvlJc w:val="left"/>
      <w:lvlText w:val="(%1)"/>
      <w:numFmt w:val="lowerLetter"/>
      <w:start w:val="1"/>
    </w:lvl>
  </w:abstractNum>
  <w:abstractNum w:abstractNumId="134">
    <w:nsid w:val="11CCA8BA"/>
    <w:multiLevelType w:val="hybridMultilevel"/>
    <w:lvl w:ilvl="0">
      <w:lvlJc w:val="left"/>
      <w:lvlText w:val="%1."/>
      <w:numFmt w:val="decimal"/>
      <w:start w:val="18"/>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4"/>
    </w:lvl>
  </w:abstractNum>
  <w:abstractNum w:abstractNumId="137">
    <w:nsid w:val="6B47F63E"/>
    <w:multiLevelType w:val="hybridMultilevel"/>
    <w:lvl w:ilvl="0">
      <w:lvlJc w:val="left"/>
      <w:lvlText w:val="%1."/>
      <w:numFmt w:val="decimal"/>
      <w:start w:val="1"/>
    </w:lvl>
  </w:abstractNum>
  <w:abstractNum w:abstractNumId="138">
    <w:nsid w:val="5CB44A05"/>
    <w:multiLevelType w:val="hybridMultilevel"/>
    <w:lvl w:ilvl="0">
      <w:lvlJc w:val="left"/>
      <w:lvlText w:val="(%1)"/>
      <w:numFmt w:val="lowerLetter"/>
      <w:start w:val="1"/>
    </w:lvl>
  </w:abstractNum>
  <w:abstractNum w:abstractNumId="139">
    <w:nsid w:val="16CF80F1"/>
    <w:multiLevelType w:val="hybridMultilevel"/>
    <w:lvl w:ilvl="0">
      <w:lvlJc w:val="left"/>
      <w:lvlText w:val="%1."/>
      <w:numFmt w:val="decimal"/>
      <w:start w:val="3"/>
    </w:lvl>
  </w:abstractNum>
  <w:abstractNum w:abstractNumId="140">
    <w:nsid w:val="1C695DEC"/>
    <w:multiLevelType w:val="hybridMultilevel"/>
    <w:lvl w:ilvl="0">
      <w:lvlJc w:val="left"/>
      <w:lvlText w:val="(%1)"/>
      <w:numFmt w:val="lowerLetter"/>
      <w:start w:val="1"/>
    </w:lvl>
    <w:lvl w:ilvl="1">
      <w:lvlJc w:val="left"/>
      <w:lvlText w:val="%2."/>
      <w:numFmt w:val="lowerRoman"/>
      <w:start w:val="1"/>
    </w:lvl>
  </w:abstractNum>
  <w:abstractNum w:abstractNumId="141">
    <w:nsid w:val="3FCFAED9"/>
    <w:multiLevelType w:val="hybridMultilevel"/>
    <w:lvl w:ilvl="0">
      <w:lvlJc w:val="left"/>
      <w:lvlText w:val="(%1)"/>
      <w:numFmt w:val="lowerLetter"/>
      <w:start w:val="3"/>
    </w:lvl>
  </w:abstractNum>
  <w:abstractNum w:abstractNumId="142">
    <w:nsid w:val="F856867"/>
    <w:multiLevelType w:val="hybridMultilevel"/>
    <w:lvl w:ilvl="0">
      <w:lvlJc w:val="left"/>
      <w:lvlText w:val="(%1)"/>
      <w:numFmt w:val="lowerLetter"/>
      <w:start w:val="4"/>
    </w:lvl>
  </w:abstractNum>
  <w:abstractNum w:abstractNumId="143">
    <w:nsid w:val="11B1CC33"/>
    <w:multiLevelType w:val="hybridMultilevel"/>
    <w:lvl w:ilvl="0">
      <w:lvlJc w:val="left"/>
      <w:lvlText w:val="%1."/>
      <w:numFmt w:val="lowerRoman"/>
      <w:start w:val="1"/>
    </w:lvl>
  </w:abstractNum>
  <w:abstractNum w:abstractNumId="144">
    <w:nsid w:val="2E22FBB7"/>
    <w:multiLevelType w:val="hybridMultilevel"/>
    <w:lvl w:ilvl="0">
      <w:lvlJc w:val="left"/>
      <w:lvlText w:val="%1"/>
      <w:numFmt w:val="lowerLetter"/>
      <w:start w:val="1"/>
    </w:lvl>
    <w:lvl w:ilvl="1">
      <w:lvlJc w:val="left"/>
      <w:lvlText w:val="%2."/>
      <w:numFmt w:val="lowerRoman"/>
      <w:start w:val="2"/>
    </w:lvl>
  </w:abstractNum>
  <w:abstractNum w:abstractNumId="145">
    <w:nsid w:val="29934699"/>
    <w:multiLevelType w:val="hybridMultilevel"/>
    <w:lvl w:ilvl="0">
      <w:lvlJc w:val="left"/>
      <w:lvlText w:val="(%1)"/>
      <w:numFmt w:val="lowerLetter"/>
      <w:start w:val="5"/>
    </w:lvl>
    <w:lvl w:ilvl="1">
      <w:lvlJc w:val="left"/>
      <w:lvlText w:val="%2"/>
      <w:numFmt w:val="lowerRoman"/>
      <w:start w:val="1"/>
    </w:lvl>
  </w:abstractNum>
  <w:abstractNum w:abstractNumId="146">
    <w:nsid w:val="77485850"/>
    <w:multiLevelType w:val="hybridMultilevel"/>
    <w:lvl w:ilvl="0">
      <w:lvlJc w:val="left"/>
      <w:lvlText w:val="(%1)"/>
      <w:numFmt w:val="lowerLetter"/>
      <w:start w:val="8"/>
    </w:lvl>
    <w:lvl w:ilvl="1">
      <w:lvlJc w:val="left"/>
      <w:lvlText w:val="%2."/>
      <w:numFmt w:val="lowerRoman"/>
      <w:start w:val="1"/>
    </w:lvl>
  </w:abstractNum>
  <w:abstractNum w:abstractNumId="147">
    <w:nsid w:val="744939A3"/>
    <w:multiLevelType w:val="hybridMultilevel"/>
    <w:lvl w:ilvl="0">
      <w:lvlJc w:val="left"/>
      <w:lvlText w:val="(%1)"/>
      <w:numFmt w:val="lowerLetter"/>
      <w:start w:val="11"/>
    </w:lvl>
  </w:abstractNum>
  <w:abstractNum w:abstractNumId="148">
    <w:nsid w:val="4FA0D2E3"/>
    <w:multiLevelType w:val="hybridMultilevel"/>
    <w:lvl w:ilvl="0">
      <w:lvlJc w:val="left"/>
      <w:lvlText w:val="(%1)"/>
      <w:numFmt w:val="lowerLetter"/>
      <w:start w:val="13"/>
    </w:lvl>
  </w:abstractNum>
  <w:abstractNum w:abstractNumId="149">
    <w:nsid w:val="6B1D2C14"/>
    <w:multiLevelType w:val="hybridMultilevel"/>
    <w:lvl w:ilvl="0">
      <w:lvlJc w:val="left"/>
      <w:lvlText w:val="(%1)"/>
      <w:numFmt w:val="lowerLetter"/>
      <w:start w:val="18"/>
    </w:lvl>
  </w:abstractNum>
  <w:abstractNum w:abstractNumId="150">
    <w:nsid w:val="68B867D3"/>
    <w:multiLevelType w:val="hybridMultilevel"/>
    <w:lvl w:ilvl="0">
      <w:lvlJc w:val="left"/>
      <w:lvlText w:val="%1."/>
      <w:numFmt w:val="decimal"/>
      <w:start w:val="4"/>
    </w:lvl>
  </w:abstractNum>
  <w:abstractNum w:abstractNumId="151">
    <w:nsid w:val="3F7F5DD9"/>
    <w:multiLevelType w:val="hybridMultilevel"/>
    <w:lvl w:ilvl="0">
      <w:lvlJc w:val="left"/>
      <w:lvlText w:val="%1"/>
      <w:numFmt w:val="lowerLetter"/>
      <w:start w:val="1"/>
    </w:lvl>
    <w:lvl w:ilvl="1">
      <w:lvlJc w:val="left"/>
      <w:lvlText w:val="(%2)"/>
      <w:numFmt w:val="lowerLetter"/>
      <w:start w:val="1"/>
    </w:lvl>
  </w:abstractNum>
  <w:abstractNum w:abstractNumId="152">
    <w:nsid w:val="2AE05A34"/>
    <w:multiLevelType w:val="hybridMultilevel"/>
    <w:lvl w:ilvl="0">
      <w:lvlJc w:val="left"/>
      <w:lvlText w:val="(%1)"/>
      <w:numFmt w:val="lowerLetter"/>
      <w:start w:val="9"/>
    </w:lvl>
    <w:lvl w:ilvl="1">
      <w:lvlJc w:val="left"/>
      <w:lvlText w:val="(%2)"/>
      <w:numFmt w:val="lowerLetter"/>
      <w:start w:val="2"/>
    </w:lvl>
  </w:abstractNum>
  <w:abstractNum w:abstractNumId="153">
    <w:nsid w:val="32794FF7"/>
    <w:multiLevelType w:val="hybridMultilevel"/>
    <w:lvl w:ilvl="0">
      <w:lvlJc w:val="left"/>
      <w:lvlText w:val="%1."/>
      <w:numFmt w:val="decimal"/>
      <w:start w:val="5"/>
    </w:lvl>
  </w:abstractNum>
  <w:abstractNum w:abstractNumId="154">
    <w:nsid w:val="5454945E"/>
    <w:multiLevelType w:val="hybridMultilevel"/>
    <w:lvl w:ilvl="0">
      <w:lvlJc w:val="left"/>
      <w:lvlText w:val="(%1)"/>
      <w:numFmt w:val="lowerLetter"/>
      <w:start w:val="1"/>
    </w:lvl>
    <w:lvl w:ilvl="1">
      <w:lvlJc w:val="left"/>
      <w:lvlText w:val="%2."/>
      <w:numFmt w:val="lowerRoman"/>
      <w:start w:val="1"/>
    </w:lvl>
  </w:abstractNum>
  <w:abstractNum w:abstractNumId="155">
    <w:nsid w:val="4DEFDFA0"/>
    <w:multiLevelType w:val="hybridMultilevel"/>
    <w:lvl w:ilvl="0">
      <w:lvlJc w:val="left"/>
      <w:lvlText w:val="(%1)"/>
      <w:numFmt w:val="lowerLetter"/>
      <w:start w:val="3"/>
    </w:lvl>
    <w:lvl w:ilvl="1">
      <w:lvlJc w:val="left"/>
      <w:lvlText w:val="%2."/>
      <w:numFmt w:val="lowerRoman"/>
      <w:start w:val="1"/>
    </w:lvl>
  </w:abstractNum>
  <w:abstractNum w:abstractNumId="156">
    <w:nsid w:val="2123D5F2"/>
    <w:multiLevelType w:val="hybridMultilevel"/>
    <w:lvl w:ilvl="0">
      <w:lvlJc w:val="left"/>
      <w:lvlText w:val="%1."/>
      <w:numFmt w:val="decimal"/>
      <w:start w:val="6"/>
    </w:lvl>
  </w:abstractNum>
  <w:abstractNum w:abstractNumId="157">
    <w:nsid w:val="135B8110"/>
    <w:multiLevelType w:val="hybridMultilevel"/>
    <w:lvl w:ilvl="0">
      <w:lvlJc w:val="left"/>
      <w:lvlText w:val="%1."/>
      <w:numFmt w:val="decimal"/>
      <w:start w:val="7"/>
    </w:lvl>
  </w:abstractNum>
  <w:abstractNum w:abstractNumId="158">
    <w:nsid w:val="94927A8"/>
    <w:multiLevelType w:val="hybridMultilevel"/>
    <w:lvl w:ilvl="0">
      <w:lvlJc w:val="left"/>
      <w:lvlText w:val="%1."/>
      <w:numFmt w:val="decimal"/>
      <w:start w:val="9"/>
    </w:lvl>
  </w:abstractNum>
  <w:abstractNum w:abstractNumId="159">
    <w:nsid w:val="DCDF8F6"/>
    <w:multiLevelType w:val="hybridMultilevel"/>
    <w:lvl w:ilvl="0">
      <w:lvlJc w:val="left"/>
      <w:lvlText w:val="%1"/>
      <w:numFmt w:val="upperLetter"/>
      <w:start w:val="1"/>
    </w:lvl>
    <w:lvl w:ilvl="1">
      <w:lvlJc w:val="left"/>
      <w:lvlText w:val="(%2)"/>
      <w:numFmt w:val="lowerLetter"/>
      <w:start w:val="1"/>
    </w:lvl>
  </w:abstractNum>
  <w:abstractNum w:abstractNumId="160">
    <w:nsid w:val="52D7B105"/>
    <w:multiLevelType w:val="hybridMultilevel"/>
    <w:lvl w:ilvl="0">
      <w:lvlJc w:val="left"/>
      <w:lvlText w:val="(%1)"/>
      <w:numFmt w:val="upperLetter"/>
      <w:start w:val="1"/>
    </w:lvl>
    <w:lvl w:ilvl="1">
      <w:lvlJc w:val="left"/>
      <w:lvlText w:val="%2"/>
      <w:numFmt w:val="lowerLetter"/>
      <w:start w:val="1"/>
    </w:lvl>
  </w:abstractNum>
  <w:abstractNum w:abstractNumId="161">
    <w:nsid w:val="2E8A6394"/>
    <w:multiLevelType w:val="hybridMultilevel"/>
    <w:lvl w:ilvl="0">
      <w:lvlJc w:val="left"/>
      <w:lvlText w:val="%1"/>
      <w:numFmt w:val="decimal"/>
      <w:start w:val="1"/>
    </w:lvl>
    <w:lvl w:ilvl="1">
      <w:lvlJc w:val="left"/>
      <w:lvlText w:val="(%2)"/>
      <w:numFmt w:val="lowerLetter"/>
      <w:start w:val="2"/>
    </w:lvl>
  </w:abstractNum>
  <w:abstractNum w:abstractNumId="162">
    <w:nsid w:val="24E60401"/>
    <w:multiLevelType w:val="hybridMultilevel"/>
    <w:lvl w:ilvl="0">
      <w:lvlJc w:val="left"/>
      <w:lvlText w:val="(%1)"/>
      <w:numFmt w:val="decimal"/>
      <w:start w:val="1"/>
    </w:lvl>
    <w:lvl w:ilvl="1">
      <w:lvlJc w:val="left"/>
      <w:lvlText w:val="%2"/>
      <w:numFmt w:val="lowerLetter"/>
      <w:start w:val="1"/>
    </w:lvl>
  </w:abstractNum>
  <w:abstractNum w:abstractNumId="163">
    <w:nsid w:val="2A6AD9BE"/>
    <w:multiLevelType w:val="hybridMultilevel"/>
    <w:lvl w:ilvl="0">
      <w:lvlJc w:val="left"/>
      <w:lvlText w:val="%1."/>
      <w:numFmt w:val="lowerRoman"/>
      <w:start w:val="1"/>
    </w:lvl>
  </w:abstractNum>
  <w:abstractNum w:abstractNumId="164">
    <w:nsid w:val="BAAC1B4"/>
    <w:multiLevelType w:val="hybridMultilevel"/>
    <w:lvl w:ilvl="0">
      <w:lvlJc w:val="left"/>
      <w:lvlText w:val="(%1)"/>
      <w:numFmt w:val="lowerLetter"/>
      <w:start w:val="4"/>
    </w:lvl>
  </w:abstractNum>
  <w:abstractNum w:abstractNumId="165">
    <w:nsid w:val="36B2ACBC"/>
    <w:multiLevelType w:val="hybridMultilevel"/>
    <w:lvl w:ilvl="0">
      <w:lvlJc w:val="left"/>
      <w:lvlText w:val="(%1)"/>
      <w:numFmt w:val="lowerLetter"/>
      <w:start w:val="6"/>
    </w:lvl>
  </w:abstractNum>
  <w:abstractNum w:abstractNumId="166">
    <w:nsid w:val="779D8544"/>
    <w:multiLevelType w:val="hybridMultilevel"/>
    <w:lvl w:ilvl="0">
      <w:lvlJc w:val="left"/>
      <w:lvlText w:val="%1."/>
      <w:numFmt w:val="decimal"/>
      <w:start w:val="10"/>
    </w:lvl>
  </w:abstractNum>
  <w:abstractNum w:abstractNumId="167">
    <w:nsid w:val="4AB26E78"/>
    <w:multiLevelType w:val="hybridMultilevel"/>
    <w:lvl w:ilvl="0">
      <w:lvlJc w:val="left"/>
      <w:lvlText w:val="(%1)"/>
      <w:numFmt w:val="lowerLetter"/>
      <w:start w:val="1"/>
    </w:lvl>
  </w:abstractNum>
  <w:abstractNum w:abstractNumId="168">
    <w:nsid w:val="21FAA2FA"/>
    <w:multiLevelType w:val="hybridMultilevel"/>
    <w:lvl w:ilvl="0">
      <w:lvlJc w:val="left"/>
      <w:lvlText w:val="(%1)"/>
      <w:numFmt w:val="lowerLetter"/>
      <w:start w:val="3"/>
    </w:lvl>
  </w:abstractNum>
  <w:abstractNum w:abstractNumId="169">
    <w:nsid w:val="5451CF49"/>
    <w:multiLevelType w:val="hybridMultilevel"/>
    <w:lvl w:ilvl="0">
      <w:lvlJc w:val="left"/>
      <w:lvlText w:val="%1."/>
      <w:numFmt w:val="decimal"/>
      <w:start w:val="12"/>
    </w:lvl>
  </w:abstractNum>
  <w:abstractNum w:abstractNumId="170">
    <w:nsid w:val="6181EF69"/>
    <w:multiLevelType w:val="hybridMultilevel"/>
    <w:lvl w:ilvl="0">
      <w:lvlJc w:val="left"/>
      <w:lvlText w:val="(%1)"/>
      <w:numFmt w:val="lowerLetter"/>
      <w:start w:val="1"/>
    </w:lvl>
  </w:abstractNum>
  <w:abstractNum w:abstractNumId="171">
    <w:nsid w:val="3E6400E6"/>
    <w:multiLevelType w:val="hybridMultilevel"/>
    <w:lvl w:ilvl="0">
      <w:lvlJc w:val="left"/>
      <w:lvlText w:val="%1."/>
      <w:numFmt w:val="decimal"/>
      <w:start w:val="14"/>
    </w:lvl>
  </w:abstractNum>
  <w:abstractNum w:abstractNumId="172">
    <w:nsid w:val="14217E23"/>
    <w:multiLevelType w:val="hybridMultilevel"/>
    <w:lvl w:ilvl="0">
      <w:lvlJc w:val="left"/>
      <w:lvlText w:val="%1."/>
      <w:numFmt w:val="decimal"/>
      <w:start w:val="16"/>
    </w:lvl>
  </w:abstractNum>
  <w:abstractNum w:abstractNumId="173">
    <w:nsid w:val="710757D0"/>
    <w:multiLevelType w:val="hybridMultilevel"/>
    <w:lvl w:ilvl="0">
      <w:lvlJc w:val="left"/>
      <w:lvlText w:val="(%1)"/>
      <w:numFmt w:val="lowerLetter"/>
      <w:start w:val="1"/>
    </w:lvl>
  </w:abstractNum>
  <w:abstractNum w:abstractNumId="174">
    <w:nsid w:val="5015CD1A"/>
    <w:multiLevelType w:val="hybridMultilevel"/>
    <w:lvl w:ilvl="0">
      <w:lvlJc w:val="left"/>
      <w:lvlText w:val="%1."/>
      <w:numFmt w:val="decimal"/>
      <w:start w:val="18"/>
    </w:lvl>
  </w:abstractNum>
  <w:abstractNum w:abstractNumId="175">
    <w:nsid w:val="424479DA"/>
    <w:multiLevelType w:val="hybridMultilevel"/>
    <w:lvl w:ilvl="0">
      <w:lvlJc w:val="left"/>
      <w:lvlText w:val="(%1)"/>
      <w:numFmt w:val="lowerLetter"/>
      <w:start w:val="1"/>
    </w:lvl>
  </w:abstractNum>
  <w:abstractNum w:abstractNumId="176">
    <w:nsid w:val="1A9A9E69"/>
    <w:multiLevelType w:val="hybridMultilevel"/>
    <w:lvl w:ilvl="0">
      <w:lvlJc w:val="left"/>
      <w:lvlText w:val="(%1)"/>
      <w:numFmt w:val="lowerRoman"/>
      <w:start w:val="4"/>
    </w:lvl>
    <w:lvl w:ilvl="1">
      <w:lvlJc w:val="left"/>
      <w:lvlText w:val="(%2)"/>
      <w:numFmt w:val="lowerLetter"/>
      <w:start w:val="4"/>
    </w:lvl>
  </w:abstractNum>
  <w:abstractNum w:abstractNumId="177">
    <w:nsid w:val="475E256A"/>
    <w:multiLevelType w:val="hybridMultilevel"/>
    <w:lvl w:ilvl="0">
      <w:lvlJc w:val="left"/>
      <w:lvlText w:val="A"/>
      <w:numFmt w:val="bullet"/>
      <w:start w:val="1"/>
    </w:lvl>
  </w:abstractNum>
  <w:abstractNum w:abstractNumId="178">
    <w:nsid w:val="368DB37E"/>
    <w:multiLevelType w:val="hybridMultilevel"/>
    <w:lvl w:ilvl="0">
      <w:lvlJc w:val="left"/>
      <w:lvlText w:val="(%1)"/>
      <w:numFmt w:val="lowerRoman"/>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image" Target="media/image19.png"/><Relationship Id="rId65" Type="http://schemas.openxmlformats.org/officeDocument/2006/relationships/image" Target="media/image20.png"/><Relationship Id="rId66" Type="http://schemas.openxmlformats.org/officeDocument/2006/relationships/image" Target="media/image21.png"/><Relationship Id="rId23" Type="http://schemas.openxmlformats.org/officeDocument/2006/relationships/hyperlink" Target="http://www.sec.gov/Archives/edgar/data/1004434/0000950135-97-004266.txt" TargetMode="External"/><Relationship Id="rId24" Type="http://schemas.openxmlformats.org/officeDocument/2006/relationships/hyperlink" Target="http://www.sec.gov/Archives/edgar/data/1004434/000110465905056203/a05-20277_1ex4d1.htm" TargetMode="External"/><Relationship Id="rId25" Type="http://schemas.openxmlformats.org/officeDocument/2006/relationships/hyperlink" Target="http://www.sec.gov/Archives/edgar/data/1004434/000110465906028490/a06-9042_1def14a.htm#Appendixc_132928" TargetMode="External"/><Relationship Id="rId26" Type="http://schemas.openxmlformats.org/officeDocument/2006/relationships/hyperlink" Target="http://www.sec.gov/Archives/edgar/data/1004434/000100443417000019/amg_06302017xexhibit31.htm" TargetMode="External"/><Relationship Id="rId27" Type="http://schemas.openxmlformats.org/officeDocument/2006/relationships/hyperlink" Target="http://www.sec.gov/Archives/edgar/data/1004434/000100443416000050/amg_09302016xexhibit31.htm" TargetMode="External"/><Relationship Id="rId28" Type="http://schemas.openxmlformats.org/officeDocument/2006/relationships/hyperlink" Target="http://www.sec.gov/Archives/edgar/data/1004434/000100443418000004/amgexhibit41specimens0c8.htm" TargetMode="External"/><Relationship Id="rId29" Type="http://schemas.openxmlformats.org/officeDocument/2006/relationships/hyperlink" Target="http://www.sec.gov/Archives/edgar/data/1004434/000110465907075659/a07-25047_2ex4d2.htm" TargetMode="External"/><Relationship Id="rId30" Type="http://schemas.openxmlformats.org/officeDocument/2006/relationships/hyperlink" Target="http://www.sec.gov/Archives/edgar/data/1004434/000110465907075659/a07-25047_2ex4d3.htm" TargetMode="External"/><Relationship Id="rId31" Type="http://schemas.openxmlformats.org/officeDocument/2006/relationships/hyperlink" Target="http://www.sec.gov/Archives/edgar/data/1004434/000100443414000006/exhibit44-x2006trupsfirsts.htm" TargetMode="External"/><Relationship Id="rId32" Type="http://schemas.openxmlformats.org/officeDocument/2006/relationships/hyperlink" Target="http://www.sec.gov/Archives/edgar/data/1004434/000110465907075659/a07-25047_2ex4d1.htm" TargetMode="External"/><Relationship Id="rId33" Type="http://schemas.openxmlformats.org/officeDocument/2006/relationships/hyperlink" Target="http://www.sec.gov/Archives/edgar/data/1004434/000110465914008462/a14-5385_1ex4d1.htm" TargetMode="External"/><Relationship Id="rId34" Type="http://schemas.openxmlformats.org/officeDocument/2006/relationships/hyperlink" Target="http://www.sec.gov/Archives/edgar/data/1004434/000110465914008462/a14-5385_1ex4d2.htm" TargetMode="External"/><Relationship Id="rId35" Type="http://schemas.openxmlformats.org/officeDocument/2006/relationships/hyperlink" Target="http://www.sec.gov/Archives/edgar/data/1004434/000110465915010489/a14-25059_5ex4d2.htm" TargetMode="External"/><Relationship Id="rId36" Type="http://schemas.openxmlformats.org/officeDocument/2006/relationships/hyperlink" Target="http://www.sec.gov/Archives/edgar/data/1004434/000119312519088500/d666868dex41.htm" TargetMode="External"/><Relationship Id="rId37" Type="http://schemas.openxmlformats.org/officeDocument/2006/relationships/hyperlink" Target="http://www.sec.gov/Archives/edgar/data/1004434/000119312519088500/d666868dex42.htm" TargetMode="External"/><Relationship Id="rId38" Type="http://schemas.openxmlformats.org/officeDocument/2006/relationships/hyperlink" Target="http://www.sec.gov/Archives/edgar/data/1004434/000091205700015163/0000912057-00-015163.txt" TargetMode="External"/><Relationship Id="rId39" Type="http://schemas.openxmlformats.org/officeDocument/2006/relationships/hyperlink" Target="http://www.sec.gov/Archives/edgar/data/1004434/000104746915004126/a2224331zdef14a.htm#toc_la78601_1" TargetMode="External"/><Relationship Id="rId40" Type="http://schemas.openxmlformats.org/officeDocument/2006/relationships/hyperlink" Target="http://www.sec.gov/Archives/edgar/data/1004434/000104746904016516/a2135956zex-10_1.txt" TargetMode="External"/><Relationship Id="rId41" Type="http://schemas.openxmlformats.org/officeDocument/2006/relationships/hyperlink" Target="http://www.sec.gov/Archives/edgar/data/1004434/000104746904016516/a2135956zex-10_2.txt" TargetMode="External"/><Relationship Id="rId42" Type="http://schemas.openxmlformats.org/officeDocument/2006/relationships/hyperlink" Target="http://www.sec.gov/Archives/edgar/data/1004434/000110465906028490/a06-9042_1def14a.htm#AppendixB_193232" TargetMode="External"/><Relationship Id="rId43" Type="http://schemas.openxmlformats.org/officeDocument/2006/relationships/hyperlink" Target="http://www.sec.gov/Archives/edgar/data/1004434/000100443414000006/exhibit106-xamendedandrest.htm" TargetMode="External"/><Relationship Id="rId44" Type="http://schemas.openxmlformats.org/officeDocument/2006/relationships/hyperlink" Target="http://www.sec.gov/Archives/edgar/data/1004434/000110465905054205/a05-18540_1ex10d1.htm" TargetMode="External"/><Relationship Id="rId45" Type="http://schemas.openxmlformats.org/officeDocument/2006/relationships/hyperlink" Target="http://www.sec.gov/Archives/edgar/data/1004434/000104746909002123/a2190957zex-10_9.htm" TargetMode="External"/><Relationship Id="rId46" Type="http://schemas.openxmlformats.org/officeDocument/2006/relationships/hyperlink" Target="http://www.sec.gov/Archives/edgar/data/1004434/000110465910063366/a10-23856_1ex99d1.htm" TargetMode="External"/><Relationship Id="rId47" Type="http://schemas.openxmlformats.org/officeDocument/2006/relationships/hyperlink" Target="http://www.sec.gov/Archives/edgar/data/1004434/000104746911003828/a2203474zdef14a.htm#toc_cm71601_1" TargetMode="External"/><Relationship Id="rId48" Type="http://schemas.openxmlformats.org/officeDocument/2006/relationships/hyperlink" Target="http://www.sec.gov/Archives/edgar/data/1004434/000104746912001372/a2207296zex-10_15.htm" TargetMode="External"/><Relationship Id="rId49" Type="http://schemas.openxmlformats.org/officeDocument/2006/relationships/hyperlink" Target="http://www.sec.gov/Archives/edgar/data/1004434/000104746913001515/a2212939zex-10_14.htm" TargetMode="External"/><Relationship Id="rId50" Type="http://schemas.openxmlformats.org/officeDocument/2006/relationships/hyperlink" Target="http://www.sec.gov/Archives/edgar/data/1004434/000104746913005205/a2214725zdef14a.htm#toc_la17201_1" TargetMode="External"/><Relationship Id="rId51" Type="http://schemas.openxmlformats.org/officeDocument/2006/relationships/hyperlink" Target="http://www.sec.gov/Archives/edgar/data/1004434/000100443419000008/amg_exhibit1015x123118.htm" TargetMode="External"/><Relationship Id="rId52" Type="http://schemas.openxmlformats.org/officeDocument/2006/relationships/hyperlink" Target="http://www.sec.gov/Archives/edgar/data/1004434/000100443419000008/amg_exhibit1016x123118.htm" TargetMode="External"/><Relationship Id="rId53" Type="http://schemas.openxmlformats.org/officeDocument/2006/relationships/hyperlink" Target="http://www.sec.gov/Archives/edgar/data/1004434/000100443414000006/exhibit1015_xrsawardagreem.htm" TargetMode="External"/><Relationship Id="rId54" Type="http://schemas.openxmlformats.org/officeDocument/2006/relationships/hyperlink" Target="http://www.sec.gov/Archives/edgar/data/1004434/000104746911001624/a2202148zex-10_15.htm" TargetMode="External"/><Relationship Id="rId55" Type="http://schemas.openxmlformats.org/officeDocument/2006/relationships/hyperlink" Target="http://www.sec.gov/Archives/edgar/data/1004434/000100443418000004/amg_exhibit1019x123117doc.htm" TargetMode="External"/><Relationship Id="rId56" Type="http://schemas.openxmlformats.org/officeDocument/2006/relationships/hyperlink" Target="http://www.sec.gov/Archives/edgar/data/1004434/000100443419000022/amg_033119xexhibit102.htm" TargetMode="External"/><Relationship Id="rId57" Type="http://schemas.openxmlformats.org/officeDocument/2006/relationships/hyperlink" Target="http://www.sec.gov/Archives/edgar/data/1004434/000119312519013422/d888576dex101.htm" TargetMode="External"/><Relationship Id="rId58" Type="http://schemas.openxmlformats.org/officeDocument/2006/relationships/hyperlink" Target="http://www.sec.gov/Archives/edgar/data/1004434/000119312519013422/d888576dex102.htm" TargetMode="External"/><Relationship Id="rId59" Type="http://schemas.openxmlformats.org/officeDocument/2006/relationships/hyperlink" Target="http://www.sec.gov/Archives/edgar/data/1004434/000119312519088500/d666868dex12.htm" TargetMode="External"/><Relationship Id="rId60" Type="http://schemas.openxmlformats.org/officeDocument/2006/relationships/hyperlink" Target="http://www.sec.gov/Archives/edgar/data/1004434/000119312519088500/d6668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2020-02-28T15:33:11Z</dcterms:created>
  <dcterms:modified xsi:type="dcterms:W3CDTF">2020-02-28T15:33:11Z</dcterms:modified>
</cp:coreProperties>
</file>